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濉溪县医院车辆维修服务采购需求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预算价：18万元/年，服务期三年。合同一年一签。</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一.</w:t>
      </w:r>
      <w:r>
        <w:rPr>
          <w:rFonts w:hint="eastAsia" w:ascii="宋体" w:hAnsi="宋体" w:eastAsia="宋体" w:cs="宋体"/>
          <w:b/>
          <w:bCs/>
          <w:sz w:val="24"/>
          <w:szCs w:val="32"/>
        </w:rPr>
        <w:t>服务</w:t>
      </w:r>
      <w:r>
        <w:rPr>
          <w:rFonts w:hint="eastAsia" w:ascii="宋体" w:hAnsi="宋体" w:eastAsia="宋体" w:cs="宋体"/>
          <w:b/>
          <w:bCs/>
          <w:sz w:val="24"/>
          <w:szCs w:val="32"/>
          <w:lang w:val="en-US" w:eastAsia="zh-CN"/>
        </w:rPr>
        <w:t>基本</w:t>
      </w:r>
      <w:r>
        <w:rPr>
          <w:rFonts w:hint="eastAsia" w:ascii="宋体" w:hAnsi="宋体" w:eastAsia="宋体" w:cs="宋体"/>
          <w:b/>
          <w:bCs/>
          <w:sz w:val="24"/>
          <w:szCs w:val="32"/>
        </w:rPr>
        <w:t>要求：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服务单位维修工位使用面积</w:t>
      </w:r>
      <w:r>
        <w:rPr>
          <w:rFonts w:hint="eastAsia" w:ascii="宋体" w:hAnsi="宋体" w:eastAsia="宋体" w:cs="宋体"/>
          <w:sz w:val="24"/>
          <w:szCs w:val="32"/>
          <w:lang w:val="en-US" w:eastAsia="zh-CN"/>
        </w:rPr>
        <w:t>应不低于</w:t>
      </w:r>
      <w:r>
        <w:rPr>
          <w:rFonts w:hint="eastAsia" w:ascii="宋体" w:hAnsi="宋体" w:eastAsia="宋体" w:cs="宋体"/>
          <w:sz w:val="24"/>
          <w:szCs w:val="32"/>
        </w:rPr>
        <w:t>500平方米，服务单位应具备</w:t>
      </w:r>
      <w:r>
        <w:rPr>
          <w:rFonts w:hint="eastAsia" w:ascii="宋体" w:hAnsi="宋体" w:eastAsia="宋体" w:cs="宋体"/>
          <w:sz w:val="24"/>
          <w:szCs w:val="32"/>
          <w:lang w:val="en-US" w:eastAsia="zh-CN"/>
        </w:rPr>
        <w:t>不少于2</w:t>
      </w:r>
      <w:r>
        <w:rPr>
          <w:rFonts w:hint="eastAsia" w:ascii="宋体" w:hAnsi="宋体" w:eastAsia="宋体" w:cs="宋体"/>
          <w:sz w:val="24"/>
          <w:szCs w:val="32"/>
        </w:rPr>
        <w:t>个洗车工位和</w:t>
      </w:r>
      <w:r>
        <w:rPr>
          <w:rFonts w:hint="eastAsia" w:ascii="宋体" w:hAnsi="宋体" w:eastAsia="宋体" w:cs="宋体"/>
          <w:sz w:val="24"/>
          <w:szCs w:val="32"/>
          <w:lang w:val="en-US" w:eastAsia="zh-CN"/>
        </w:rPr>
        <w:t>不少于1</w:t>
      </w:r>
      <w:r>
        <w:rPr>
          <w:rFonts w:hint="eastAsia" w:ascii="宋体" w:hAnsi="宋体" w:eastAsia="宋体" w:cs="宋体"/>
          <w:sz w:val="24"/>
          <w:szCs w:val="32"/>
        </w:rPr>
        <w:t>个维修车辆举升机，</w:t>
      </w:r>
      <w:r>
        <w:rPr>
          <w:rFonts w:hint="eastAsia" w:ascii="宋体" w:hAnsi="宋体" w:eastAsia="宋体" w:cs="宋体"/>
          <w:sz w:val="24"/>
          <w:szCs w:val="32"/>
          <w:lang w:val="en-US" w:eastAsia="zh-CN"/>
        </w:rPr>
        <w:t>不少于2</w:t>
      </w:r>
      <w:r>
        <w:rPr>
          <w:rFonts w:hint="eastAsia" w:ascii="宋体" w:hAnsi="宋体" w:eastAsia="宋体" w:cs="宋体"/>
          <w:sz w:val="24"/>
          <w:szCs w:val="32"/>
        </w:rPr>
        <w:t>个车身维修车位；</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建立并执行价格备案及公示、汽车维修合同、汽车维修费用结算清单、汽车维修记录；</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质量保证书应按照不低于国家行业规定的标准提供，投标人应明确各种类别维修质量保证的具体里程或时间。</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32"/>
        </w:rPr>
      </w:pPr>
      <w:r>
        <w:rPr>
          <w:rFonts w:hint="eastAsia" w:ascii="宋体" w:hAnsi="宋体" w:eastAsia="宋体" w:cs="宋体"/>
          <w:sz w:val="24"/>
          <w:szCs w:val="32"/>
          <w:lang w:eastAsia="zh-CN"/>
        </w:rPr>
        <w:t>二</w:t>
      </w:r>
      <w:r>
        <w:rPr>
          <w:rFonts w:hint="eastAsia" w:ascii="宋体" w:hAnsi="宋体" w:eastAsia="宋体" w:cs="宋体"/>
          <w:sz w:val="24"/>
          <w:szCs w:val="32"/>
          <w:lang w:val="en-US" w:eastAsia="zh-CN"/>
        </w:rPr>
        <w:t>.</w:t>
      </w:r>
      <w:r>
        <w:rPr>
          <w:rFonts w:hint="eastAsia" w:ascii="宋体" w:hAnsi="宋体" w:eastAsia="宋体" w:cs="宋体"/>
          <w:sz w:val="24"/>
          <w:szCs w:val="32"/>
        </w:rPr>
        <w:t>服务</w:t>
      </w:r>
      <w:r>
        <w:rPr>
          <w:rFonts w:hint="eastAsia" w:ascii="宋体" w:hAnsi="宋体" w:eastAsia="宋体" w:cs="宋体"/>
          <w:sz w:val="24"/>
          <w:szCs w:val="32"/>
          <w:lang w:val="en-US" w:eastAsia="zh-CN"/>
        </w:rPr>
        <w:t>内容</w:t>
      </w:r>
      <w:r>
        <w:rPr>
          <w:rFonts w:hint="eastAsia" w:ascii="宋体" w:hAnsi="宋体" w:eastAsia="宋体" w:cs="宋体"/>
          <w:sz w:val="24"/>
          <w:szCs w:val="32"/>
        </w:rPr>
        <w:t>要求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应保证甲方获得优先服务的权利，并在不超过协商承诺的维修期限内完成维修工作。</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应设有24小时服务电话，在接到甲方报修电话后</w:t>
      </w:r>
      <w:r>
        <w:rPr>
          <w:rFonts w:hint="eastAsia" w:ascii="宋体" w:hAnsi="宋体" w:eastAsia="宋体" w:cs="宋体"/>
          <w:sz w:val="24"/>
          <w:szCs w:val="32"/>
          <w:lang w:eastAsia="zh-CN"/>
        </w:rPr>
        <w:t>立即</w:t>
      </w:r>
      <w:r>
        <w:rPr>
          <w:rFonts w:hint="eastAsia" w:ascii="宋体" w:hAnsi="宋体" w:eastAsia="宋体" w:cs="宋体"/>
          <w:sz w:val="24"/>
          <w:szCs w:val="32"/>
        </w:rPr>
        <w:t>予以响应，并能提供上门维修服务。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FF0000"/>
          <w:sz w:val="24"/>
          <w:szCs w:val="32"/>
          <w:shd w:val="clear" w:color="FFFFFF" w:fill="D9D9D9"/>
        </w:rPr>
      </w:pPr>
      <w:r>
        <w:rPr>
          <w:rFonts w:hint="eastAsia" w:ascii="宋体" w:hAnsi="宋体" w:eastAsia="宋体" w:cs="宋体"/>
          <w:color w:val="FF0000"/>
          <w:sz w:val="24"/>
          <w:szCs w:val="32"/>
          <w:shd w:val="clear" w:color="FFFFFF" w:fill="D9D9D9"/>
          <w:lang w:val="en-US" w:eastAsia="zh-CN"/>
        </w:rPr>
        <w:t>★3.</w:t>
      </w:r>
      <w:r>
        <w:rPr>
          <w:rFonts w:hint="eastAsia" w:ascii="宋体" w:hAnsi="宋体" w:eastAsia="宋体" w:cs="宋体"/>
          <w:color w:val="FF0000"/>
          <w:sz w:val="24"/>
          <w:szCs w:val="32"/>
          <w:shd w:val="clear" w:color="FFFFFF" w:fill="D9D9D9"/>
        </w:rPr>
        <w:t>能为甲方无偿提供紧急救援服务，配备有明显标志的抢修车</w:t>
      </w:r>
      <w:r>
        <w:rPr>
          <w:rFonts w:hint="eastAsia" w:ascii="宋体" w:hAnsi="宋体" w:eastAsia="宋体" w:cs="宋体"/>
          <w:color w:val="FF0000"/>
          <w:sz w:val="24"/>
          <w:szCs w:val="32"/>
          <w:shd w:val="clear" w:color="FFFFFF" w:fill="D9D9D9"/>
          <w:lang w:eastAsia="zh-CN"/>
        </w:rPr>
        <w:t>。</w:t>
      </w:r>
      <w:r>
        <w:rPr>
          <w:rFonts w:hint="eastAsia" w:ascii="宋体" w:hAnsi="宋体" w:eastAsia="宋体" w:cs="宋体"/>
          <w:color w:val="FF0000"/>
          <w:sz w:val="24"/>
          <w:szCs w:val="32"/>
          <w:shd w:val="clear" w:color="FFFFFF" w:fill="D9D9D9"/>
          <w:lang w:val="en-US" w:eastAsia="zh-CN"/>
        </w:rPr>
        <w:t>投标人</w:t>
      </w:r>
      <w:r>
        <w:rPr>
          <w:rFonts w:hint="eastAsia" w:ascii="宋体" w:hAnsi="宋体" w:eastAsia="宋体" w:cs="宋体"/>
          <w:color w:val="FF0000"/>
          <w:sz w:val="24"/>
          <w:szCs w:val="32"/>
          <w:shd w:val="clear" w:color="FFFFFF" w:fill="D9D9D9"/>
        </w:rPr>
        <w:t>接到甲方报修电话</w:t>
      </w:r>
      <w:r>
        <w:rPr>
          <w:rFonts w:hint="eastAsia" w:ascii="宋体" w:hAnsi="宋体" w:eastAsia="宋体" w:cs="宋体"/>
          <w:color w:val="FF0000"/>
          <w:sz w:val="24"/>
          <w:szCs w:val="32"/>
          <w:shd w:val="clear" w:color="FFFFFF" w:fill="D9D9D9"/>
          <w:lang w:eastAsia="zh-CN"/>
        </w:rPr>
        <w:t>，</w:t>
      </w:r>
      <w:r>
        <w:rPr>
          <w:rFonts w:hint="eastAsia" w:ascii="宋体" w:hAnsi="宋体" w:cs="宋体"/>
          <w:color w:val="FF0000"/>
          <w:sz w:val="24"/>
          <w:szCs w:val="32"/>
          <w:shd w:val="clear" w:color="FFFFFF" w:fill="D9D9D9"/>
          <w:lang w:eastAsia="zh-CN"/>
        </w:rPr>
        <w:t>最迟</w:t>
      </w:r>
      <w:r>
        <w:rPr>
          <w:rFonts w:hint="eastAsia" w:ascii="宋体" w:hAnsi="宋体" w:eastAsia="宋体" w:cs="宋体"/>
          <w:color w:val="FF0000"/>
          <w:sz w:val="24"/>
          <w:szCs w:val="32"/>
          <w:shd w:val="clear" w:color="FFFFFF" w:fill="D9D9D9"/>
          <w:lang w:val="en-US" w:eastAsia="zh-CN"/>
        </w:rPr>
        <w:t>30分钟</w:t>
      </w:r>
      <w:r>
        <w:rPr>
          <w:rFonts w:hint="eastAsia" w:ascii="宋体" w:hAnsi="宋体" w:eastAsia="宋体" w:cs="宋体"/>
          <w:color w:val="FF0000"/>
          <w:sz w:val="24"/>
          <w:szCs w:val="32"/>
          <w:shd w:val="clear" w:color="FFFFFF" w:fill="D9D9D9"/>
        </w:rPr>
        <w:t>内派人赶到救援现场。</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对</w:t>
      </w:r>
      <w:r>
        <w:rPr>
          <w:rFonts w:hint="eastAsia" w:ascii="宋体" w:hAnsi="宋体" w:eastAsia="宋体" w:cs="宋体"/>
          <w:sz w:val="24"/>
          <w:szCs w:val="32"/>
          <w:lang w:eastAsia="zh-CN"/>
        </w:rPr>
        <w:t>采购人</w:t>
      </w:r>
      <w:r>
        <w:rPr>
          <w:rFonts w:hint="eastAsia" w:ascii="宋体" w:hAnsi="宋体" w:eastAsia="宋体" w:cs="宋体"/>
          <w:sz w:val="24"/>
          <w:szCs w:val="32"/>
        </w:rPr>
        <w:t>的车辆建立用户档案，档案内容应有送修单、派工单、结算单</w:t>
      </w:r>
      <w:r>
        <w:rPr>
          <w:rFonts w:hint="eastAsia" w:ascii="宋体" w:hAnsi="宋体" w:eastAsia="宋体" w:cs="宋体"/>
          <w:sz w:val="24"/>
          <w:szCs w:val="32"/>
          <w:lang w:eastAsia="zh-CN"/>
        </w:rPr>
        <w:t>、车辆整体情况</w:t>
      </w:r>
      <w:r>
        <w:rPr>
          <w:rFonts w:hint="eastAsia" w:ascii="宋体" w:hAnsi="宋体" w:eastAsia="宋体" w:cs="宋体"/>
          <w:sz w:val="24"/>
          <w:szCs w:val="32"/>
        </w:rPr>
        <w:t>，实行“三单合一”管理，开展跟踪服务。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协助有关部门做好对甲方经办人的廉政工作，防止腐败现象的出现。</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6.须专人给予做好维修工作（包括节假日），确保使用车辆问题在第一时间得到维修。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w:t>
      </w:r>
      <w:r>
        <w:rPr>
          <w:rFonts w:hint="eastAsia" w:ascii="宋体" w:hAnsi="宋体" w:eastAsia="宋体" w:cs="宋体"/>
          <w:sz w:val="24"/>
          <w:szCs w:val="32"/>
        </w:rPr>
        <w:t>投标人可提供的其他服务。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注：中标单位在</w:t>
      </w:r>
      <w:r>
        <w:rPr>
          <w:rFonts w:hint="eastAsia" w:ascii="宋体" w:hAnsi="宋体" w:eastAsia="宋体" w:cs="宋体"/>
          <w:sz w:val="24"/>
          <w:szCs w:val="32"/>
          <w:lang w:val="en-US" w:eastAsia="zh-CN"/>
        </w:rPr>
        <w:t>维修</w:t>
      </w:r>
      <w:r>
        <w:rPr>
          <w:rFonts w:hint="eastAsia" w:ascii="宋体" w:hAnsi="宋体" w:eastAsia="宋体" w:cs="宋体"/>
          <w:sz w:val="24"/>
          <w:szCs w:val="32"/>
        </w:rPr>
        <w:t>收费时均必须执行中标人中同品目维护项目最低投标报价的工时费、材料费管理费率、固定收费项目（洗车、补胎、动平衡、打蜡、抛光）等的收费标准，同品牌外购件亦执行中标单位中最低价格。</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三</w:t>
      </w:r>
      <w:r>
        <w:rPr>
          <w:rFonts w:hint="eastAsia" w:ascii="宋体" w:hAnsi="宋体" w:eastAsia="宋体" w:cs="宋体"/>
          <w:b/>
          <w:bCs/>
          <w:sz w:val="24"/>
          <w:szCs w:val="32"/>
          <w:lang w:val="en-US" w:eastAsia="zh-CN"/>
        </w:rPr>
        <w:t>.</w:t>
      </w:r>
      <w:r>
        <w:rPr>
          <w:rFonts w:hint="eastAsia" w:ascii="宋体" w:hAnsi="宋体" w:eastAsia="宋体" w:cs="宋体"/>
          <w:b/>
          <w:bCs/>
          <w:sz w:val="24"/>
          <w:szCs w:val="32"/>
        </w:rPr>
        <w:t>报价</w:t>
      </w:r>
      <w:r>
        <w:rPr>
          <w:rFonts w:hint="eastAsia" w:ascii="宋体" w:hAnsi="宋体" w:eastAsia="宋体" w:cs="宋体"/>
          <w:b/>
          <w:bCs/>
          <w:sz w:val="24"/>
          <w:szCs w:val="32"/>
          <w:lang w:eastAsia="zh-CN"/>
        </w:rPr>
        <w:t>要求及付款方式：</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维修企业的投标人应在投标文件中的维修工费报价表上标明，在《安徽省物价局、交通厅关于修订印发安徽省汽车维修行业收费标准和结算办法的通知》（皖价服字[2002]160号）中的维修企业工时费报价大修，中修，小修一致。</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维修材料管理费应按照不超过《安徽省物价局、交通厅关于修订印发安徽省汽车维修行业收费标准和结算办法的通知》（皖价服字[2002]160号）收取，投标人应明确基于维修材料进价的收取比例。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车辆维修款为每月底支付一次，结算时应提供当月维修清单。</w:t>
      </w:r>
    </w:p>
    <w:p>
      <w:pPr>
        <w:keepNext w:val="0"/>
        <w:keepLines w:val="0"/>
        <w:pageBreakBefore w:val="0"/>
        <w:widowControl w:val="0"/>
        <w:kinsoku/>
        <w:overflowPunct/>
        <w:topLinePunct w:val="0"/>
        <w:autoSpaceDE/>
        <w:bidi w:val="0"/>
        <w:adjustRightInd/>
        <w:snapToGrid/>
        <w:spacing w:line="560" w:lineRule="exact"/>
        <w:textAlignment w:val="auto"/>
        <w:rPr>
          <w:rFonts w:hint="eastAsia" w:eastAsia="仿宋_GB2312"/>
          <w:b/>
          <w:bCs/>
          <w:lang w:eastAsia="zh-CN"/>
        </w:rPr>
      </w:pPr>
      <w:r>
        <w:rPr>
          <w:rFonts w:hint="eastAsia" w:ascii="仿宋_GB2312" w:hAnsi="仿宋_GB2312" w:eastAsia="仿宋_GB2312" w:cs="仿宋_GB2312"/>
          <w:b/>
          <w:bCs/>
          <w:sz w:val="32"/>
          <w:szCs w:val="40"/>
          <w:lang w:eastAsia="zh-CN"/>
        </w:rPr>
        <w:t>四、评分办法</w:t>
      </w:r>
    </w:p>
    <w:tbl>
      <w:tblPr>
        <w:tblStyle w:val="5"/>
        <w:tblpPr w:leftFromText="180" w:rightFromText="180" w:vertAnchor="text" w:tblpXSpec="center" w:tblpY="1"/>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500"/>
        <w:gridCol w:w="583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641" w:type="dxa"/>
            <w:gridSpan w:val="3"/>
            <w:noWrap w:val="0"/>
            <w:vAlign w:val="center"/>
          </w:tcPr>
          <w:p>
            <w:pPr>
              <w:keepNext/>
              <w:snapToGrid w:val="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评分项目</w:t>
            </w:r>
          </w:p>
        </w:tc>
        <w:tc>
          <w:tcPr>
            <w:tcW w:w="1088" w:type="dxa"/>
            <w:noWrap w:val="0"/>
            <w:vAlign w:val="center"/>
          </w:tcPr>
          <w:p>
            <w:pPr>
              <w:keepNext/>
              <w:snapToGrid w:val="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11" w:type="dxa"/>
            <w:noWrap w:val="0"/>
            <w:vAlign w:val="center"/>
          </w:tcPr>
          <w:p>
            <w:pPr>
              <w:keepNext/>
              <w:widowControl/>
              <w:snapToGrid w:val="0"/>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价格分</w:t>
            </w:r>
          </w:p>
          <w:p>
            <w:pPr>
              <w:keepNext/>
              <w:widowControl/>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30</w:t>
            </w:r>
            <w:r>
              <w:rPr>
                <w:rFonts w:hint="eastAsia" w:ascii="宋体" w:hAnsi="宋体" w:eastAsia="宋体" w:cs="宋体"/>
                <w:sz w:val="22"/>
                <w:szCs w:val="22"/>
                <w:highlight w:val="none"/>
              </w:rPr>
              <w:t>分）</w:t>
            </w:r>
          </w:p>
        </w:tc>
        <w:tc>
          <w:tcPr>
            <w:tcW w:w="1500" w:type="dxa"/>
            <w:noWrap w:val="0"/>
            <w:vAlign w:val="center"/>
          </w:tcPr>
          <w:p>
            <w:pPr>
              <w:keepNext/>
              <w:snapToGrid w:val="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投标报价</w:t>
            </w:r>
          </w:p>
          <w:p>
            <w:pPr>
              <w:keepNext/>
              <w:snapToGrid w:val="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（30分）</w:t>
            </w:r>
          </w:p>
        </w:tc>
        <w:tc>
          <w:tcPr>
            <w:tcW w:w="5830" w:type="dxa"/>
            <w:noWrap w:val="0"/>
            <w:vAlign w:val="center"/>
          </w:tcPr>
          <w:p>
            <w:pPr>
              <w:keepNext/>
              <w:snapToGrid w:val="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满足招标文件要求且投标价格最低的投标报价为评标基准价。</w:t>
            </w:r>
          </w:p>
          <w:p>
            <w:pPr>
              <w:keepNext/>
              <w:snapToGrid w:val="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即投标报价得分=（基准价/投标报价）×投标报价权重</w:t>
            </w:r>
          </w:p>
        </w:tc>
        <w:tc>
          <w:tcPr>
            <w:tcW w:w="1088" w:type="dxa"/>
            <w:noWrap w:val="0"/>
            <w:vAlign w:val="center"/>
          </w:tcPr>
          <w:p>
            <w:pPr>
              <w:keepNext/>
              <w:snapToGrid w:val="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311" w:type="dxa"/>
            <w:vMerge w:val="restart"/>
            <w:noWrap w:val="0"/>
            <w:vAlign w:val="center"/>
          </w:tcPr>
          <w:p>
            <w:pPr>
              <w:keepNext/>
              <w:snapToGrid w:val="0"/>
              <w:jc w:val="center"/>
              <w:rPr>
                <w:rFonts w:hint="eastAsia" w:ascii="宋体" w:hAnsi="宋体" w:eastAsia="宋体" w:cs="宋体"/>
                <w:sz w:val="22"/>
                <w:szCs w:val="22"/>
                <w:highlight w:val="none"/>
                <w:lang w:eastAsia="zh-CN"/>
              </w:rPr>
            </w:pPr>
            <w:bookmarkStart w:id="0" w:name="_Hlk382837503"/>
            <w:r>
              <w:rPr>
                <w:rFonts w:hint="eastAsia" w:ascii="宋体" w:hAnsi="宋体" w:eastAsia="宋体" w:cs="宋体"/>
                <w:sz w:val="22"/>
                <w:szCs w:val="22"/>
                <w:highlight w:val="none"/>
                <w:lang w:eastAsia="zh-CN"/>
              </w:rPr>
              <w:t>商务分</w:t>
            </w:r>
          </w:p>
          <w:p>
            <w:pPr>
              <w:keepNext/>
              <w:snapToGrid w:val="0"/>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70分</w:t>
            </w:r>
            <w:r>
              <w:rPr>
                <w:rFonts w:hint="eastAsia" w:ascii="宋体" w:hAnsi="宋体" w:eastAsia="宋体" w:cs="宋体"/>
                <w:sz w:val="22"/>
                <w:szCs w:val="22"/>
                <w:highlight w:val="none"/>
                <w:lang w:eastAsia="zh-CN"/>
              </w:rPr>
              <w:t>）</w:t>
            </w:r>
          </w:p>
        </w:tc>
        <w:tc>
          <w:tcPr>
            <w:tcW w:w="1500" w:type="dxa"/>
            <w:vMerge w:val="restart"/>
            <w:noWrap w:val="0"/>
            <w:vAlign w:val="center"/>
          </w:tcPr>
          <w:p>
            <w:pPr>
              <w:keepNext/>
              <w:snapToGrid w:val="0"/>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资信分</w:t>
            </w:r>
          </w:p>
          <w:p>
            <w:pPr>
              <w:keepNext/>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p>
        </w:tc>
        <w:tc>
          <w:tcPr>
            <w:tcW w:w="5830" w:type="dxa"/>
            <w:noWrap w:val="0"/>
            <w:vAlign w:val="center"/>
          </w:tcPr>
          <w:p>
            <w:pPr>
              <w:keepNext/>
              <w:snapToGrid w:val="0"/>
              <w:jc w:val="both"/>
              <w:rPr>
                <w:rFonts w:hint="eastAsia" w:ascii="宋体" w:hAnsi="宋体" w:eastAsia="宋体" w:cs="宋体"/>
                <w:color w:val="000000"/>
                <w:sz w:val="22"/>
                <w:szCs w:val="22"/>
                <w:highlight w:val="none"/>
                <w:lang w:val="en-US" w:eastAsia="zh-CN"/>
              </w:rPr>
            </w:pPr>
            <w:r>
              <w:rPr>
                <w:rFonts w:hint="eastAsia" w:ascii="宋体" w:hAnsi="宋体" w:eastAsia="宋体" w:cs="宋体"/>
                <w:sz w:val="22"/>
                <w:szCs w:val="22"/>
                <w:highlight w:val="none"/>
              </w:rPr>
              <w:t>投标人提供的企业质量体系认证、汽车维修企业计量检测体系认证、量具校</w:t>
            </w:r>
            <w:r>
              <w:rPr>
                <w:rFonts w:hint="eastAsia" w:ascii="宋体" w:hAnsi="宋体" w:eastAsia="宋体" w:cs="宋体"/>
                <w:sz w:val="22"/>
                <w:szCs w:val="22"/>
                <w:highlight w:val="none"/>
                <w:lang w:val="en-US" w:eastAsia="zh-CN"/>
              </w:rPr>
              <w:t>证</w:t>
            </w:r>
            <w:r>
              <w:rPr>
                <w:rFonts w:hint="eastAsia" w:ascii="宋体" w:hAnsi="宋体" w:eastAsia="宋体" w:cs="宋体"/>
                <w:sz w:val="22"/>
                <w:szCs w:val="22"/>
                <w:highlight w:val="none"/>
              </w:rPr>
              <w:t>书</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证书须在有效期内</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每提供一个得2分，</w:t>
            </w:r>
            <w:r>
              <w:rPr>
                <w:rFonts w:hint="eastAsia" w:ascii="宋体" w:hAnsi="宋体" w:eastAsia="宋体" w:cs="宋体"/>
                <w:b/>
                <w:bCs/>
                <w:sz w:val="22"/>
                <w:szCs w:val="22"/>
                <w:highlight w:val="none"/>
                <w:lang w:val="en-US" w:eastAsia="zh-CN"/>
              </w:rPr>
              <w:t>最高得6</w:t>
            </w:r>
            <w:r>
              <w:rPr>
                <w:rFonts w:hint="eastAsia" w:ascii="宋体" w:hAnsi="宋体" w:eastAsia="宋体" w:cs="宋体"/>
                <w:b/>
                <w:bCs/>
                <w:sz w:val="22"/>
                <w:szCs w:val="22"/>
                <w:highlight w:val="none"/>
              </w:rPr>
              <w:t>分</w:t>
            </w:r>
            <w:r>
              <w:rPr>
                <w:rFonts w:hint="eastAsia" w:ascii="宋体" w:hAnsi="宋体" w:eastAsia="宋体" w:cs="宋体"/>
                <w:sz w:val="22"/>
                <w:szCs w:val="22"/>
                <w:highlight w:val="none"/>
                <w:lang w:eastAsia="zh-CN"/>
              </w:rPr>
              <w:t>。</w:t>
            </w:r>
          </w:p>
        </w:tc>
        <w:tc>
          <w:tcPr>
            <w:tcW w:w="1088" w:type="dxa"/>
            <w:noWrap w:val="0"/>
            <w:vAlign w:val="center"/>
          </w:tcPr>
          <w:p>
            <w:pPr>
              <w:keepNext/>
              <w:snapToGrid w:val="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1" w:type="dxa"/>
            <w:vMerge w:val="continue"/>
            <w:noWrap w:val="0"/>
            <w:vAlign w:val="center"/>
          </w:tcPr>
          <w:p>
            <w:pPr>
              <w:keepNext/>
              <w:snapToGrid w:val="0"/>
              <w:jc w:val="center"/>
              <w:rPr>
                <w:rFonts w:hint="eastAsia" w:ascii="宋体" w:hAnsi="宋体" w:eastAsia="宋体" w:cs="宋体"/>
                <w:sz w:val="22"/>
                <w:szCs w:val="22"/>
                <w:highlight w:val="none"/>
              </w:rPr>
            </w:pPr>
          </w:p>
        </w:tc>
        <w:tc>
          <w:tcPr>
            <w:tcW w:w="1500" w:type="dxa"/>
            <w:vMerge w:val="continue"/>
            <w:noWrap w:val="0"/>
            <w:vAlign w:val="center"/>
          </w:tcPr>
          <w:p>
            <w:pPr>
              <w:keepNext/>
              <w:snapToGrid w:val="0"/>
              <w:jc w:val="center"/>
              <w:rPr>
                <w:rFonts w:hint="eastAsia" w:ascii="宋体" w:hAnsi="宋体" w:eastAsia="宋体" w:cs="宋体"/>
                <w:sz w:val="22"/>
                <w:szCs w:val="32"/>
                <w:highlight w:val="none"/>
              </w:rPr>
            </w:pPr>
          </w:p>
        </w:tc>
        <w:tc>
          <w:tcPr>
            <w:tcW w:w="5830" w:type="dxa"/>
            <w:noWrap w:val="0"/>
            <w:vAlign w:val="center"/>
          </w:tcPr>
          <w:p>
            <w:pPr>
              <w:keepNext/>
              <w:snapToGrid w:val="0"/>
              <w:jc w:val="both"/>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投标人提供的车辆维修从业人员的从业资格</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每提供一个得2分，</w:t>
            </w:r>
            <w:r>
              <w:rPr>
                <w:rFonts w:hint="eastAsia" w:ascii="宋体" w:hAnsi="宋体" w:eastAsia="宋体" w:cs="宋体"/>
                <w:b/>
                <w:bCs/>
                <w:sz w:val="22"/>
                <w:szCs w:val="22"/>
                <w:highlight w:val="none"/>
                <w:lang w:val="en-US" w:eastAsia="zh-CN"/>
              </w:rPr>
              <w:t>最高得10</w:t>
            </w:r>
            <w:r>
              <w:rPr>
                <w:rFonts w:hint="eastAsia" w:ascii="宋体" w:hAnsi="宋体" w:eastAsia="宋体" w:cs="宋体"/>
                <w:b/>
                <w:bCs/>
                <w:sz w:val="22"/>
                <w:szCs w:val="22"/>
                <w:highlight w:val="none"/>
              </w:rPr>
              <w:t>分</w:t>
            </w:r>
            <w:r>
              <w:rPr>
                <w:rFonts w:hint="eastAsia" w:ascii="宋体" w:hAnsi="宋体" w:eastAsia="宋体" w:cs="宋体"/>
                <w:sz w:val="22"/>
                <w:szCs w:val="22"/>
                <w:highlight w:val="none"/>
                <w:lang w:eastAsia="zh-CN"/>
              </w:rPr>
              <w:t>。</w:t>
            </w:r>
          </w:p>
        </w:tc>
        <w:tc>
          <w:tcPr>
            <w:tcW w:w="1088" w:type="dxa"/>
            <w:noWrap w:val="0"/>
            <w:vAlign w:val="center"/>
          </w:tcPr>
          <w:p>
            <w:pPr>
              <w:keepNext/>
              <w:snapToGrid w:val="0"/>
              <w:jc w:val="center"/>
              <w:rPr>
                <w:rFonts w:hint="eastAsia" w:ascii="宋体" w:hAnsi="宋体" w:eastAsia="宋体" w:cs="宋体"/>
                <w:sz w:val="22"/>
                <w:szCs w:val="22"/>
                <w:highlight w:val="none"/>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11" w:type="dxa"/>
            <w:vMerge w:val="continue"/>
            <w:noWrap w:val="0"/>
            <w:vAlign w:val="center"/>
          </w:tcPr>
          <w:p>
            <w:pPr>
              <w:keepNext/>
              <w:snapToGrid w:val="0"/>
              <w:jc w:val="center"/>
              <w:rPr>
                <w:rFonts w:hint="eastAsia" w:ascii="宋体" w:hAnsi="宋体" w:eastAsia="宋体" w:cs="宋体"/>
                <w:sz w:val="22"/>
                <w:szCs w:val="22"/>
                <w:highlight w:val="none"/>
              </w:rPr>
            </w:pPr>
          </w:p>
        </w:tc>
        <w:tc>
          <w:tcPr>
            <w:tcW w:w="1500" w:type="dxa"/>
            <w:noWrap w:val="0"/>
            <w:vAlign w:val="center"/>
          </w:tcPr>
          <w:p>
            <w:pPr>
              <w:keepNext/>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场地评审</w:t>
            </w:r>
          </w:p>
          <w:p>
            <w:pPr>
              <w:keepNext/>
              <w:snapToGrid w:val="0"/>
              <w:jc w:val="center"/>
              <w:rPr>
                <w:rFonts w:hint="eastAsia" w:ascii="宋体" w:hAnsi="宋体" w:eastAsia="宋体" w:cs="宋体"/>
                <w:color w:val="000000"/>
                <w:sz w:val="22"/>
                <w:szCs w:val="22"/>
                <w:highlight w:val="none"/>
              </w:rPr>
            </w:pPr>
            <w:r>
              <w:rPr>
                <w:rFonts w:hint="eastAsia" w:ascii="宋体" w:hAnsi="宋体" w:eastAsia="宋体" w:cs="宋体"/>
                <w:sz w:val="22"/>
                <w:szCs w:val="22"/>
                <w:highlight w:val="none"/>
                <w:lang w:eastAsia="zh-CN"/>
              </w:rPr>
              <w:t>（</w:t>
            </w:r>
            <w:r>
              <w:rPr>
                <w:rFonts w:hint="eastAsia" w:ascii="宋体" w:hAnsi="宋体" w:cs="宋体"/>
                <w:sz w:val="22"/>
                <w:szCs w:val="22"/>
                <w:highlight w:val="none"/>
                <w:lang w:val="en-US" w:eastAsia="zh-CN"/>
              </w:rPr>
              <w:t>20</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p>
        </w:tc>
        <w:tc>
          <w:tcPr>
            <w:tcW w:w="5830" w:type="dxa"/>
            <w:noWrap w:val="0"/>
            <w:vAlign w:val="center"/>
          </w:tcPr>
          <w:p>
            <w:pPr>
              <w:keepNext/>
              <w:snapToGrid w:val="0"/>
              <w:jc w:val="both"/>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投标企业地理位置、场地性质、交通状况、平面布置、服务态度、规章管理和收费标准的透明度、检修设备以及上年度机关、单位、企业定点维修报表执行情况（如有）及业务合同履行情况，投标人提供情况说明、实拍彩图及相关台账资料供评委综合分析评比</w:t>
            </w:r>
            <w:r>
              <w:rPr>
                <w:rFonts w:hint="eastAsia" w:ascii="宋体" w:hAnsi="宋体" w:eastAsia="宋体" w:cs="宋体"/>
                <w:sz w:val="22"/>
                <w:szCs w:val="22"/>
                <w:highlight w:val="none"/>
                <w:lang w:eastAsia="zh-CN"/>
              </w:rPr>
              <w:t>。</w:t>
            </w:r>
          </w:p>
          <w:p>
            <w:pPr>
              <w:keepNext/>
              <w:snapToGrid w:val="0"/>
              <w:jc w:val="both"/>
              <w:rPr>
                <w:rFonts w:hint="eastAsia" w:ascii="宋体" w:hAnsi="宋体" w:eastAsia="宋体" w:cs="宋体"/>
                <w:sz w:val="22"/>
                <w:szCs w:val="22"/>
                <w:highlight w:val="none"/>
                <w:lang w:eastAsia="zh-CN"/>
              </w:rPr>
            </w:pPr>
            <w:r>
              <w:rPr>
                <w:rFonts w:hint="eastAsia" w:ascii="宋体" w:hAnsi="宋体" w:eastAsia="宋体" w:cs="宋体"/>
                <w:b/>
                <w:bCs/>
                <w:sz w:val="22"/>
                <w:szCs w:val="22"/>
                <w:highlight w:val="none"/>
              </w:rPr>
              <w:t>优：</w:t>
            </w:r>
            <w:r>
              <w:rPr>
                <w:rFonts w:hint="eastAsia" w:ascii="宋体" w:hAnsi="宋体" w:cs="宋体"/>
                <w:b/>
                <w:bCs/>
                <w:sz w:val="22"/>
                <w:szCs w:val="22"/>
                <w:highlight w:val="none"/>
                <w:lang w:val="en-US" w:eastAsia="zh-CN"/>
              </w:rPr>
              <w:t>20</w:t>
            </w:r>
            <w:r>
              <w:rPr>
                <w:rFonts w:hint="eastAsia" w:ascii="宋体" w:hAnsi="宋体" w:eastAsia="宋体" w:cs="宋体"/>
                <w:b/>
                <w:bCs/>
                <w:sz w:val="22"/>
                <w:szCs w:val="22"/>
                <w:highlight w:val="none"/>
              </w:rPr>
              <w:t>-</w:t>
            </w:r>
            <w:r>
              <w:rPr>
                <w:rFonts w:hint="eastAsia" w:ascii="宋体" w:hAnsi="宋体" w:cs="宋体"/>
                <w:b/>
                <w:bCs/>
                <w:sz w:val="22"/>
                <w:szCs w:val="22"/>
                <w:highlight w:val="none"/>
                <w:lang w:val="en-US" w:eastAsia="zh-CN"/>
              </w:rPr>
              <w:t>13</w:t>
            </w:r>
            <w:r>
              <w:rPr>
                <w:rFonts w:hint="eastAsia" w:ascii="宋体" w:hAnsi="宋体" w:eastAsia="宋体" w:cs="宋体"/>
                <w:b/>
                <w:bCs/>
                <w:sz w:val="22"/>
                <w:szCs w:val="22"/>
                <w:highlight w:val="none"/>
              </w:rPr>
              <w:t>分，良：</w:t>
            </w:r>
            <w:r>
              <w:rPr>
                <w:rFonts w:hint="eastAsia" w:ascii="宋体" w:hAnsi="宋体" w:cs="宋体"/>
                <w:b/>
                <w:bCs/>
                <w:sz w:val="22"/>
                <w:szCs w:val="22"/>
                <w:highlight w:val="none"/>
                <w:lang w:val="en-US" w:eastAsia="zh-CN"/>
              </w:rPr>
              <w:t>12</w:t>
            </w:r>
            <w:r>
              <w:rPr>
                <w:rFonts w:hint="eastAsia" w:ascii="宋体" w:hAnsi="宋体" w:eastAsia="宋体" w:cs="宋体"/>
                <w:b/>
                <w:bCs/>
                <w:sz w:val="22"/>
                <w:szCs w:val="22"/>
                <w:highlight w:val="none"/>
              </w:rPr>
              <w:t>-6分，一般：</w:t>
            </w:r>
            <w:r>
              <w:rPr>
                <w:rFonts w:hint="eastAsia" w:ascii="宋体" w:hAnsi="宋体" w:cs="宋体"/>
                <w:b/>
                <w:bCs/>
                <w:sz w:val="22"/>
                <w:szCs w:val="22"/>
                <w:highlight w:val="none"/>
                <w:lang w:val="en-US" w:eastAsia="zh-CN"/>
              </w:rPr>
              <w:t>5-1</w:t>
            </w:r>
            <w:r>
              <w:rPr>
                <w:rFonts w:hint="eastAsia" w:ascii="宋体" w:hAnsi="宋体" w:eastAsia="宋体" w:cs="宋体"/>
                <w:b/>
                <w:bCs/>
                <w:sz w:val="22"/>
                <w:szCs w:val="22"/>
                <w:highlight w:val="none"/>
              </w:rPr>
              <w:t>分</w:t>
            </w:r>
            <w:r>
              <w:rPr>
                <w:rFonts w:hint="eastAsia" w:ascii="宋体" w:hAnsi="宋体" w:eastAsia="宋体" w:cs="宋体"/>
                <w:b/>
                <w:bCs/>
                <w:sz w:val="22"/>
                <w:szCs w:val="22"/>
                <w:highlight w:val="none"/>
                <w:lang w:eastAsia="zh-CN"/>
              </w:rPr>
              <w:t>。</w:t>
            </w:r>
          </w:p>
        </w:tc>
        <w:tc>
          <w:tcPr>
            <w:tcW w:w="1088" w:type="dxa"/>
            <w:noWrap w:val="0"/>
            <w:vAlign w:val="center"/>
          </w:tcPr>
          <w:p>
            <w:pPr>
              <w:keepNext/>
              <w:snapToGrid w:val="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311" w:type="dxa"/>
            <w:vMerge w:val="continue"/>
            <w:noWrap w:val="0"/>
            <w:vAlign w:val="center"/>
          </w:tcPr>
          <w:p>
            <w:pPr>
              <w:keepNext/>
              <w:snapToGrid w:val="0"/>
              <w:jc w:val="center"/>
              <w:rPr>
                <w:rFonts w:hint="eastAsia" w:ascii="宋体" w:hAnsi="宋体" w:eastAsia="宋体" w:cs="宋体"/>
                <w:sz w:val="22"/>
                <w:szCs w:val="22"/>
                <w:highlight w:val="none"/>
              </w:rPr>
            </w:pPr>
          </w:p>
        </w:tc>
        <w:tc>
          <w:tcPr>
            <w:tcW w:w="1500" w:type="dxa"/>
            <w:noWrap w:val="0"/>
            <w:vAlign w:val="center"/>
          </w:tcPr>
          <w:p>
            <w:pPr>
              <w:keepNext/>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标书规范性</w:t>
            </w:r>
          </w:p>
          <w:p>
            <w:pPr>
              <w:keepNext/>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p>
        </w:tc>
        <w:tc>
          <w:tcPr>
            <w:tcW w:w="5830" w:type="dxa"/>
            <w:noWrap w:val="0"/>
            <w:vAlign w:val="center"/>
          </w:tcPr>
          <w:p>
            <w:pPr>
              <w:keepNext/>
              <w:snapToGrid w:val="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投标文件制作规范性，没有细微偏差情况得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分，有一项细微偏差扣0.5分，直至该分值扣完为止。</w:t>
            </w:r>
          </w:p>
        </w:tc>
        <w:tc>
          <w:tcPr>
            <w:tcW w:w="1088" w:type="dxa"/>
            <w:noWrap w:val="0"/>
            <w:vAlign w:val="center"/>
          </w:tcPr>
          <w:p>
            <w:pPr>
              <w:keepNext/>
              <w:snapToGrid w:val="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11" w:type="dxa"/>
            <w:vMerge w:val="continue"/>
            <w:noWrap w:val="0"/>
            <w:vAlign w:val="center"/>
          </w:tcPr>
          <w:p>
            <w:pPr>
              <w:keepNext/>
              <w:snapToGrid w:val="0"/>
              <w:jc w:val="center"/>
              <w:rPr>
                <w:rFonts w:hint="eastAsia" w:ascii="宋体" w:hAnsi="宋体" w:eastAsia="宋体" w:cs="宋体"/>
                <w:sz w:val="22"/>
                <w:szCs w:val="22"/>
                <w:highlight w:val="none"/>
              </w:rPr>
            </w:pPr>
          </w:p>
        </w:tc>
        <w:tc>
          <w:tcPr>
            <w:tcW w:w="1500" w:type="dxa"/>
            <w:vMerge w:val="restart"/>
            <w:noWrap w:val="0"/>
            <w:vAlign w:val="center"/>
          </w:tcPr>
          <w:p>
            <w:pPr>
              <w:keepNext/>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经营管理情况</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5分</w:t>
            </w:r>
            <w:r>
              <w:rPr>
                <w:rFonts w:hint="eastAsia" w:ascii="宋体" w:hAnsi="宋体" w:eastAsia="宋体" w:cs="宋体"/>
                <w:sz w:val="22"/>
                <w:szCs w:val="22"/>
                <w:highlight w:val="none"/>
                <w:lang w:eastAsia="zh-CN"/>
              </w:rPr>
              <w:t>）</w:t>
            </w:r>
          </w:p>
        </w:tc>
        <w:tc>
          <w:tcPr>
            <w:tcW w:w="5830" w:type="dxa"/>
            <w:noWrap w:val="0"/>
            <w:vAlign w:val="center"/>
          </w:tcPr>
          <w:p>
            <w:pPr>
              <w:keepNext/>
              <w:snapToGrid w:val="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管理人员和技术人员3分，管理人员和技术人员配备情况，有无较好的车辆维修的管理和从业经验，是否具备较好的为</w:t>
            </w:r>
            <w:r>
              <w:rPr>
                <w:rFonts w:hint="eastAsia" w:ascii="宋体" w:hAnsi="宋体" w:eastAsia="宋体" w:cs="宋体"/>
                <w:sz w:val="22"/>
                <w:szCs w:val="22"/>
                <w:highlight w:val="none"/>
                <w:lang w:val="en-US" w:eastAsia="zh-CN"/>
              </w:rPr>
              <w:t>维修</w:t>
            </w:r>
            <w:r>
              <w:rPr>
                <w:rFonts w:hint="eastAsia" w:ascii="宋体" w:hAnsi="宋体" w:eastAsia="宋体" w:cs="宋体"/>
                <w:sz w:val="22"/>
                <w:szCs w:val="22"/>
                <w:highlight w:val="none"/>
              </w:rPr>
              <w:t>车辆提供服务的经验等，综合评比。</w:t>
            </w:r>
          </w:p>
        </w:tc>
        <w:tc>
          <w:tcPr>
            <w:tcW w:w="1088" w:type="dxa"/>
            <w:noWrap w:val="0"/>
            <w:vAlign w:val="center"/>
          </w:tcPr>
          <w:p>
            <w:pPr>
              <w:keepNext/>
              <w:snapToGrid w:val="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311" w:type="dxa"/>
            <w:vMerge w:val="continue"/>
            <w:noWrap w:val="0"/>
            <w:vAlign w:val="center"/>
          </w:tcPr>
          <w:p>
            <w:pPr>
              <w:keepNext/>
              <w:snapToGrid w:val="0"/>
              <w:jc w:val="center"/>
              <w:rPr>
                <w:rFonts w:hint="eastAsia" w:ascii="宋体" w:hAnsi="宋体" w:eastAsia="宋体" w:cs="宋体"/>
                <w:sz w:val="22"/>
                <w:szCs w:val="22"/>
                <w:highlight w:val="none"/>
              </w:rPr>
            </w:pPr>
          </w:p>
        </w:tc>
        <w:tc>
          <w:tcPr>
            <w:tcW w:w="1500" w:type="dxa"/>
            <w:vMerge w:val="continue"/>
            <w:noWrap w:val="0"/>
            <w:vAlign w:val="center"/>
          </w:tcPr>
          <w:p>
            <w:pPr>
              <w:keepNext/>
              <w:snapToGrid w:val="0"/>
              <w:jc w:val="center"/>
              <w:rPr>
                <w:rFonts w:hint="eastAsia" w:ascii="宋体" w:hAnsi="宋体" w:eastAsia="宋体" w:cs="宋体"/>
                <w:sz w:val="22"/>
                <w:szCs w:val="22"/>
                <w:highlight w:val="none"/>
              </w:rPr>
            </w:pPr>
          </w:p>
        </w:tc>
        <w:tc>
          <w:tcPr>
            <w:tcW w:w="5830" w:type="dxa"/>
            <w:noWrap w:val="0"/>
            <w:vAlign w:val="center"/>
          </w:tcPr>
          <w:p>
            <w:pPr>
              <w:keepNext/>
              <w:snapToGrid w:val="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规章制度2分，按各投标企业自行提供的规章制度的全面性和规范性进行综合评比，0-2分</w:t>
            </w:r>
          </w:p>
        </w:tc>
        <w:tc>
          <w:tcPr>
            <w:tcW w:w="1088" w:type="dxa"/>
            <w:noWrap w:val="0"/>
            <w:vAlign w:val="center"/>
          </w:tcPr>
          <w:p>
            <w:pPr>
              <w:keepNext/>
              <w:snapToGrid w:val="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311" w:type="dxa"/>
            <w:vMerge w:val="continue"/>
            <w:noWrap w:val="0"/>
            <w:vAlign w:val="center"/>
          </w:tcPr>
          <w:p>
            <w:pPr>
              <w:keepNext/>
              <w:snapToGrid w:val="0"/>
              <w:jc w:val="center"/>
              <w:rPr>
                <w:rFonts w:hint="eastAsia" w:ascii="宋体" w:hAnsi="宋体" w:eastAsia="宋体" w:cs="宋体"/>
                <w:sz w:val="22"/>
                <w:szCs w:val="22"/>
                <w:highlight w:val="none"/>
              </w:rPr>
            </w:pPr>
          </w:p>
        </w:tc>
        <w:tc>
          <w:tcPr>
            <w:tcW w:w="1500" w:type="dxa"/>
            <w:vMerge w:val="restart"/>
            <w:noWrap w:val="0"/>
            <w:vAlign w:val="center"/>
          </w:tcPr>
          <w:p>
            <w:pPr>
              <w:keepNext/>
              <w:snapToGrid w:val="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投标人业绩</w:t>
            </w:r>
          </w:p>
          <w:p>
            <w:pPr>
              <w:keepNext/>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4分</w:t>
            </w:r>
            <w:r>
              <w:rPr>
                <w:rFonts w:hint="eastAsia" w:ascii="宋体" w:hAnsi="宋体" w:eastAsia="宋体" w:cs="宋体"/>
                <w:sz w:val="22"/>
                <w:szCs w:val="22"/>
                <w:highlight w:val="none"/>
                <w:lang w:eastAsia="zh-CN"/>
              </w:rPr>
              <w:t>）</w:t>
            </w:r>
          </w:p>
        </w:tc>
        <w:tc>
          <w:tcPr>
            <w:tcW w:w="5830" w:type="dxa"/>
            <w:noWrap w:val="0"/>
            <w:vAlign w:val="center"/>
          </w:tcPr>
          <w:p>
            <w:pPr>
              <w:keepNext/>
              <w:snapToGrid w:val="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业绩2分，投标人有无政府采购公务车辆定点维修经验。近五年每有一个行政机关、事业单位公务车辆定点维修（政府采购）的工作经验得0.5分</w:t>
            </w:r>
            <w:bookmarkStart w:id="1" w:name="_GoBack"/>
            <w:bookmarkEnd w:id="1"/>
            <w:r>
              <w:rPr>
                <w:rFonts w:hint="eastAsia" w:ascii="宋体" w:hAnsi="宋体" w:eastAsia="宋体" w:cs="宋体"/>
                <w:sz w:val="22"/>
                <w:szCs w:val="22"/>
                <w:highlight w:val="none"/>
              </w:rPr>
              <w:t>，最高2分（以发生劳务关系的合同或协议为准）</w:t>
            </w:r>
          </w:p>
        </w:tc>
        <w:tc>
          <w:tcPr>
            <w:tcW w:w="1088" w:type="dxa"/>
            <w:noWrap w:val="0"/>
            <w:vAlign w:val="center"/>
          </w:tcPr>
          <w:p>
            <w:pPr>
              <w:keepNext/>
              <w:snapToGrid w:val="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11" w:type="dxa"/>
            <w:vMerge w:val="continue"/>
            <w:noWrap w:val="0"/>
            <w:vAlign w:val="center"/>
          </w:tcPr>
          <w:p>
            <w:pPr>
              <w:keepNext/>
              <w:snapToGrid w:val="0"/>
              <w:jc w:val="center"/>
              <w:rPr>
                <w:rFonts w:hint="eastAsia" w:ascii="宋体" w:hAnsi="宋体" w:eastAsia="宋体" w:cs="宋体"/>
                <w:sz w:val="22"/>
                <w:szCs w:val="22"/>
                <w:highlight w:val="none"/>
              </w:rPr>
            </w:pPr>
          </w:p>
        </w:tc>
        <w:tc>
          <w:tcPr>
            <w:tcW w:w="1500" w:type="dxa"/>
            <w:vMerge w:val="continue"/>
            <w:noWrap w:val="0"/>
            <w:vAlign w:val="center"/>
          </w:tcPr>
          <w:p>
            <w:pPr>
              <w:keepNext/>
              <w:snapToGrid w:val="0"/>
              <w:jc w:val="center"/>
              <w:rPr>
                <w:rFonts w:hint="eastAsia" w:ascii="宋体" w:hAnsi="宋体" w:eastAsia="宋体" w:cs="宋体"/>
                <w:sz w:val="22"/>
                <w:szCs w:val="22"/>
                <w:highlight w:val="none"/>
              </w:rPr>
            </w:pPr>
          </w:p>
        </w:tc>
        <w:tc>
          <w:tcPr>
            <w:tcW w:w="5830" w:type="dxa"/>
            <w:noWrap w:val="0"/>
            <w:vAlign w:val="center"/>
          </w:tcPr>
          <w:p>
            <w:pPr>
              <w:keepNext/>
              <w:snapToGrid w:val="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财务状况2分，评标委员会对投标人提供的财务报告进行分析，对投标人的资产负债进行综合分析，比较评分。</w:t>
            </w:r>
          </w:p>
        </w:tc>
        <w:tc>
          <w:tcPr>
            <w:tcW w:w="1088" w:type="dxa"/>
            <w:vMerge w:val="restart"/>
            <w:noWrap w:val="0"/>
            <w:vAlign w:val="center"/>
          </w:tcPr>
          <w:p>
            <w:pPr>
              <w:keepNext/>
              <w:snapToGrid w:val="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11" w:type="dxa"/>
            <w:vMerge w:val="continue"/>
            <w:noWrap w:val="0"/>
            <w:vAlign w:val="center"/>
          </w:tcPr>
          <w:p>
            <w:pPr>
              <w:keepNext/>
              <w:snapToGrid w:val="0"/>
              <w:jc w:val="center"/>
              <w:rPr>
                <w:rFonts w:hint="eastAsia" w:ascii="宋体" w:hAnsi="宋体" w:eastAsia="宋体" w:cs="宋体"/>
                <w:sz w:val="22"/>
                <w:szCs w:val="22"/>
                <w:highlight w:val="none"/>
              </w:rPr>
            </w:pPr>
          </w:p>
        </w:tc>
        <w:tc>
          <w:tcPr>
            <w:tcW w:w="1500" w:type="dxa"/>
            <w:vMerge w:val="restart"/>
            <w:noWrap w:val="0"/>
            <w:vAlign w:val="center"/>
          </w:tcPr>
          <w:p>
            <w:pPr>
              <w:keepNext/>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投标人</w:t>
            </w:r>
            <w:r>
              <w:rPr>
                <w:rFonts w:hint="eastAsia" w:ascii="宋体" w:hAnsi="宋体" w:cs="宋体"/>
                <w:sz w:val="22"/>
                <w:szCs w:val="22"/>
                <w:highlight w:val="none"/>
                <w:lang w:eastAsia="zh-CN"/>
              </w:rPr>
              <w:t>荣</w:t>
            </w:r>
            <w:r>
              <w:rPr>
                <w:rFonts w:hint="eastAsia" w:ascii="宋体" w:hAnsi="宋体" w:eastAsia="宋体" w:cs="宋体"/>
                <w:sz w:val="22"/>
                <w:szCs w:val="22"/>
                <w:highlight w:val="none"/>
              </w:rPr>
              <w:t>誉</w:t>
            </w:r>
          </w:p>
          <w:p>
            <w:pPr>
              <w:keepNext/>
              <w:snapToGrid w:val="0"/>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1分</w:t>
            </w:r>
            <w:r>
              <w:rPr>
                <w:rFonts w:hint="eastAsia" w:ascii="宋体" w:hAnsi="宋体" w:eastAsia="宋体" w:cs="宋体"/>
                <w:sz w:val="22"/>
                <w:szCs w:val="22"/>
                <w:highlight w:val="none"/>
                <w:lang w:eastAsia="zh-CN"/>
              </w:rPr>
              <w:t>）</w:t>
            </w:r>
          </w:p>
        </w:tc>
        <w:tc>
          <w:tcPr>
            <w:tcW w:w="5830" w:type="dxa"/>
            <w:vMerge w:val="restart"/>
            <w:noWrap w:val="0"/>
            <w:vAlign w:val="center"/>
          </w:tcPr>
          <w:p>
            <w:pPr>
              <w:keepNext/>
              <w:snapToGrid w:val="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获得荣誉1分，投标人近三年获得与业务有关的</w:t>
            </w:r>
            <w:r>
              <w:rPr>
                <w:rFonts w:hint="eastAsia" w:ascii="宋体" w:hAnsi="宋体" w:eastAsia="宋体" w:cs="宋体"/>
                <w:sz w:val="22"/>
                <w:szCs w:val="22"/>
                <w:highlight w:val="none"/>
                <w:lang w:val="en-US" w:eastAsia="zh-CN"/>
              </w:rPr>
              <w:t>县</w:t>
            </w:r>
            <w:r>
              <w:rPr>
                <w:rFonts w:hint="eastAsia" w:ascii="宋体" w:hAnsi="宋体" w:eastAsia="宋体" w:cs="宋体"/>
                <w:sz w:val="22"/>
                <w:szCs w:val="22"/>
                <w:highlight w:val="none"/>
              </w:rPr>
              <w:t>级或</w:t>
            </w:r>
            <w:r>
              <w:rPr>
                <w:rFonts w:hint="eastAsia" w:ascii="宋体" w:hAnsi="宋体" w:eastAsia="宋体" w:cs="宋体"/>
                <w:sz w:val="22"/>
                <w:szCs w:val="22"/>
                <w:highlight w:val="none"/>
                <w:lang w:val="en-US" w:eastAsia="zh-CN"/>
              </w:rPr>
              <w:t>县</w:t>
            </w:r>
            <w:r>
              <w:rPr>
                <w:rFonts w:hint="eastAsia" w:ascii="宋体" w:hAnsi="宋体" w:eastAsia="宋体" w:cs="宋体"/>
                <w:sz w:val="22"/>
                <w:szCs w:val="22"/>
                <w:highlight w:val="none"/>
              </w:rPr>
              <w:t>级以上表彰及奖励情况综合分析比较评分</w:t>
            </w:r>
          </w:p>
        </w:tc>
        <w:tc>
          <w:tcPr>
            <w:tcW w:w="1088" w:type="dxa"/>
            <w:vMerge w:val="continue"/>
            <w:noWrap w:val="0"/>
            <w:vAlign w:val="center"/>
          </w:tcPr>
          <w:p>
            <w:pPr>
              <w:keepNext/>
              <w:snapToGrid w:val="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311" w:type="dxa"/>
            <w:vMerge w:val="continue"/>
            <w:noWrap w:val="0"/>
            <w:vAlign w:val="center"/>
          </w:tcPr>
          <w:p>
            <w:pPr>
              <w:keepNext/>
              <w:snapToGrid w:val="0"/>
              <w:jc w:val="center"/>
              <w:rPr>
                <w:rFonts w:hint="eastAsia" w:ascii="宋体" w:hAnsi="宋体" w:eastAsia="宋体" w:cs="宋体"/>
                <w:sz w:val="22"/>
                <w:szCs w:val="22"/>
                <w:highlight w:val="none"/>
              </w:rPr>
            </w:pPr>
          </w:p>
        </w:tc>
        <w:tc>
          <w:tcPr>
            <w:tcW w:w="1500" w:type="dxa"/>
            <w:vMerge w:val="continue"/>
            <w:noWrap w:val="0"/>
            <w:vAlign w:val="center"/>
          </w:tcPr>
          <w:p>
            <w:pPr>
              <w:keepNext/>
              <w:snapToGrid w:val="0"/>
              <w:jc w:val="center"/>
              <w:rPr>
                <w:rFonts w:hint="eastAsia" w:ascii="宋体" w:hAnsi="宋体" w:eastAsia="宋体" w:cs="宋体"/>
                <w:sz w:val="22"/>
                <w:szCs w:val="22"/>
                <w:highlight w:val="none"/>
              </w:rPr>
            </w:pPr>
          </w:p>
        </w:tc>
        <w:tc>
          <w:tcPr>
            <w:tcW w:w="5830" w:type="dxa"/>
            <w:vMerge w:val="continue"/>
            <w:noWrap w:val="0"/>
            <w:vAlign w:val="center"/>
          </w:tcPr>
          <w:p>
            <w:pPr>
              <w:keepNext/>
              <w:snapToGrid w:val="0"/>
              <w:ind w:left="360"/>
              <w:jc w:val="both"/>
              <w:rPr>
                <w:rFonts w:hint="eastAsia" w:ascii="宋体" w:hAnsi="宋体" w:eastAsia="宋体" w:cs="宋体"/>
                <w:sz w:val="22"/>
                <w:szCs w:val="22"/>
                <w:highlight w:val="none"/>
              </w:rPr>
            </w:pPr>
          </w:p>
        </w:tc>
        <w:tc>
          <w:tcPr>
            <w:tcW w:w="1088" w:type="dxa"/>
            <w:noWrap w:val="0"/>
            <w:vAlign w:val="center"/>
          </w:tcPr>
          <w:p>
            <w:pPr>
              <w:keepNext/>
              <w:snapToGrid w:val="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11" w:type="dxa"/>
            <w:vMerge w:val="continue"/>
            <w:noWrap w:val="0"/>
            <w:vAlign w:val="center"/>
          </w:tcPr>
          <w:p>
            <w:pPr>
              <w:keepNext/>
              <w:snapToGrid w:val="0"/>
              <w:jc w:val="center"/>
              <w:rPr>
                <w:rFonts w:hint="eastAsia" w:ascii="宋体" w:hAnsi="宋体" w:eastAsia="宋体" w:cs="宋体"/>
                <w:sz w:val="22"/>
                <w:szCs w:val="22"/>
                <w:highlight w:val="none"/>
              </w:rPr>
            </w:pPr>
          </w:p>
        </w:tc>
        <w:tc>
          <w:tcPr>
            <w:tcW w:w="1500" w:type="dxa"/>
            <w:noWrap w:val="0"/>
            <w:vAlign w:val="center"/>
          </w:tcPr>
          <w:p>
            <w:pPr>
              <w:keepNext/>
              <w:snapToGrid w:val="0"/>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服务</w:t>
            </w:r>
            <w:r>
              <w:rPr>
                <w:rFonts w:hint="eastAsia" w:ascii="宋体" w:hAnsi="宋体" w:eastAsia="宋体" w:cs="宋体"/>
                <w:sz w:val="22"/>
                <w:szCs w:val="22"/>
                <w:highlight w:val="none"/>
                <w:lang w:eastAsia="zh-CN"/>
              </w:rPr>
              <w:t>方案</w:t>
            </w:r>
          </w:p>
          <w:p>
            <w:pPr>
              <w:keepNext/>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cs="宋体"/>
                <w:sz w:val="22"/>
                <w:szCs w:val="22"/>
                <w:highlight w:val="none"/>
                <w:lang w:val="en-US" w:eastAsia="zh-CN"/>
              </w:rPr>
              <w:t>20</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p>
        </w:tc>
        <w:tc>
          <w:tcPr>
            <w:tcW w:w="5830" w:type="dxa"/>
            <w:noWrap w:val="0"/>
            <w:vAlign w:val="center"/>
          </w:tcPr>
          <w:p>
            <w:pPr>
              <w:keepNext/>
              <w:snapToGrid w:val="0"/>
              <w:jc w:val="both"/>
              <w:rPr>
                <w:rFonts w:hint="eastAsia" w:ascii="宋体" w:hAnsi="宋体" w:cs="宋体"/>
                <w:sz w:val="22"/>
                <w:szCs w:val="22"/>
                <w:highlight w:val="none"/>
                <w:lang w:eastAsia="zh-CN"/>
              </w:rPr>
            </w:pPr>
            <w:r>
              <w:rPr>
                <w:rFonts w:hint="eastAsia" w:ascii="宋体" w:hAnsi="宋体" w:cs="宋体"/>
                <w:sz w:val="22"/>
                <w:szCs w:val="22"/>
                <w:highlight w:val="none"/>
                <w:lang w:eastAsia="zh-CN"/>
              </w:rPr>
              <w:t>对</w:t>
            </w:r>
            <w:r>
              <w:rPr>
                <w:rFonts w:hint="eastAsia" w:ascii="宋体" w:hAnsi="宋体" w:eastAsia="宋体" w:cs="宋体"/>
                <w:sz w:val="22"/>
                <w:szCs w:val="22"/>
                <w:highlight w:val="none"/>
              </w:rPr>
              <w:t>服务计划、管理方案、规章管理制度的内容详尽合理</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，对提供车辆维修服务的各个环节</w:t>
            </w:r>
            <w:r>
              <w:rPr>
                <w:rFonts w:hint="eastAsia" w:ascii="宋体" w:hAnsi="宋体" w:cs="宋体"/>
                <w:sz w:val="22"/>
                <w:szCs w:val="22"/>
                <w:highlight w:val="none"/>
                <w:lang w:eastAsia="zh-CN"/>
              </w:rPr>
              <w:t>的</w:t>
            </w:r>
            <w:r>
              <w:rPr>
                <w:rFonts w:hint="eastAsia" w:ascii="宋体" w:hAnsi="宋体" w:eastAsia="宋体" w:cs="宋体"/>
                <w:sz w:val="22"/>
                <w:szCs w:val="22"/>
                <w:highlight w:val="none"/>
              </w:rPr>
              <w:t>有序</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保障</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，对车辆的维修准确、高效</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w:t>
            </w:r>
            <w:r>
              <w:rPr>
                <w:rFonts w:hint="eastAsia" w:ascii="宋体" w:hAnsi="宋体" w:cs="宋体"/>
                <w:color w:val="FF0000"/>
                <w:sz w:val="22"/>
                <w:szCs w:val="22"/>
                <w:highlight w:val="none"/>
                <w:lang w:eastAsia="zh-CN"/>
              </w:rPr>
              <w:t>对各投标人的响应时间优于采购人的最低标准等进行评审</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服务承诺的实质内容是否合理，投标人的管理方案是否能有利于杜绝车辆维修过程中可能出现的不规范的操作。由评审委员会根据综合分析比较评分</w:t>
            </w:r>
            <w:r>
              <w:rPr>
                <w:rFonts w:hint="eastAsia" w:ascii="宋体" w:hAnsi="宋体" w:cs="宋体"/>
                <w:sz w:val="22"/>
                <w:szCs w:val="22"/>
                <w:highlight w:val="none"/>
                <w:lang w:eastAsia="zh-CN"/>
              </w:rPr>
              <w:t>。</w:t>
            </w:r>
          </w:p>
          <w:p>
            <w:pPr>
              <w:keepNext/>
              <w:snapToGrid w:val="0"/>
              <w:jc w:val="both"/>
              <w:rPr>
                <w:rFonts w:hint="eastAsia" w:ascii="宋体" w:hAnsi="宋体" w:eastAsia="宋体" w:cs="宋体"/>
                <w:sz w:val="22"/>
                <w:szCs w:val="22"/>
                <w:highlight w:val="none"/>
              </w:rPr>
            </w:pPr>
            <w:r>
              <w:rPr>
                <w:rFonts w:hint="eastAsia" w:ascii="宋体" w:hAnsi="宋体" w:eastAsia="宋体" w:cs="宋体"/>
                <w:b/>
                <w:bCs/>
                <w:sz w:val="22"/>
                <w:szCs w:val="22"/>
                <w:highlight w:val="none"/>
              </w:rPr>
              <w:t>优：</w:t>
            </w:r>
            <w:r>
              <w:rPr>
                <w:rFonts w:hint="eastAsia" w:ascii="宋体" w:hAnsi="宋体" w:cs="宋体"/>
                <w:b/>
                <w:bCs/>
                <w:sz w:val="22"/>
                <w:szCs w:val="22"/>
                <w:highlight w:val="none"/>
                <w:lang w:val="en-US" w:eastAsia="zh-CN"/>
              </w:rPr>
              <w:t>20</w:t>
            </w:r>
            <w:r>
              <w:rPr>
                <w:rFonts w:hint="eastAsia" w:ascii="宋体" w:hAnsi="宋体" w:eastAsia="宋体" w:cs="宋体"/>
                <w:b/>
                <w:bCs/>
                <w:sz w:val="22"/>
                <w:szCs w:val="22"/>
                <w:highlight w:val="none"/>
              </w:rPr>
              <w:t>-</w:t>
            </w:r>
            <w:r>
              <w:rPr>
                <w:rFonts w:hint="eastAsia" w:ascii="宋体" w:hAnsi="宋体" w:cs="宋体"/>
                <w:b/>
                <w:bCs/>
                <w:sz w:val="22"/>
                <w:szCs w:val="22"/>
                <w:highlight w:val="none"/>
                <w:lang w:val="en-US" w:eastAsia="zh-CN"/>
              </w:rPr>
              <w:t>13</w:t>
            </w:r>
            <w:r>
              <w:rPr>
                <w:rFonts w:hint="eastAsia" w:ascii="宋体" w:hAnsi="宋体" w:eastAsia="宋体" w:cs="宋体"/>
                <w:b/>
                <w:bCs/>
                <w:sz w:val="22"/>
                <w:szCs w:val="22"/>
                <w:highlight w:val="none"/>
              </w:rPr>
              <w:t>分，良：</w:t>
            </w:r>
            <w:r>
              <w:rPr>
                <w:rFonts w:hint="eastAsia" w:ascii="宋体" w:hAnsi="宋体" w:cs="宋体"/>
                <w:b/>
                <w:bCs/>
                <w:sz w:val="22"/>
                <w:szCs w:val="22"/>
                <w:highlight w:val="none"/>
                <w:lang w:val="en-US" w:eastAsia="zh-CN"/>
              </w:rPr>
              <w:t>12</w:t>
            </w:r>
            <w:r>
              <w:rPr>
                <w:rFonts w:hint="eastAsia" w:ascii="宋体" w:hAnsi="宋体" w:eastAsia="宋体" w:cs="宋体"/>
                <w:b/>
                <w:bCs/>
                <w:sz w:val="22"/>
                <w:szCs w:val="22"/>
                <w:highlight w:val="none"/>
              </w:rPr>
              <w:t>-6分，一般：</w:t>
            </w:r>
            <w:r>
              <w:rPr>
                <w:rFonts w:hint="eastAsia" w:ascii="宋体" w:hAnsi="宋体" w:cs="宋体"/>
                <w:b/>
                <w:bCs/>
                <w:sz w:val="22"/>
                <w:szCs w:val="22"/>
                <w:highlight w:val="none"/>
                <w:lang w:val="en-US" w:eastAsia="zh-CN"/>
              </w:rPr>
              <w:t>5-1</w:t>
            </w:r>
            <w:r>
              <w:rPr>
                <w:rFonts w:hint="eastAsia" w:ascii="宋体" w:hAnsi="宋体" w:eastAsia="宋体" w:cs="宋体"/>
                <w:b/>
                <w:bCs/>
                <w:sz w:val="22"/>
                <w:szCs w:val="22"/>
                <w:highlight w:val="none"/>
              </w:rPr>
              <w:t>分</w:t>
            </w:r>
            <w:r>
              <w:rPr>
                <w:rFonts w:hint="eastAsia" w:ascii="宋体" w:hAnsi="宋体" w:eastAsia="宋体" w:cs="宋体"/>
                <w:b/>
                <w:bCs/>
                <w:sz w:val="22"/>
                <w:szCs w:val="22"/>
                <w:highlight w:val="none"/>
                <w:lang w:eastAsia="zh-CN"/>
              </w:rPr>
              <w:t>。</w:t>
            </w:r>
          </w:p>
        </w:tc>
        <w:tc>
          <w:tcPr>
            <w:tcW w:w="1088" w:type="dxa"/>
            <w:noWrap w:val="0"/>
            <w:vAlign w:val="center"/>
          </w:tcPr>
          <w:p>
            <w:pPr>
              <w:keepNext/>
              <w:snapToGrid w:val="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8641" w:type="dxa"/>
            <w:gridSpan w:val="3"/>
            <w:noWrap w:val="0"/>
            <w:vAlign w:val="center"/>
          </w:tcPr>
          <w:p>
            <w:pPr>
              <w:keepNext/>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合计得分</w:t>
            </w:r>
          </w:p>
        </w:tc>
        <w:tc>
          <w:tcPr>
            <w:tcW w:w="1088" w:type="dxa"/>
            <w:noWrap w:val="0"/>
            <w:vAlign w:val="center"/>
          </w:tcPr>
          <w:p>
            <w:pPr>
              <w:keepNext/>
              <w:snapToGrid w:val="0"/>
              <w:jc w:val="center"/>
              <w:rPr>
                <w:rFonts w:hint="eastAsia" w:ascii="宋体" w:hAnsi="宋体" w:eastAsia="宋体" w:cs="宋体"/>
                <w:sz w:val="22"/>
                <w:szCs w:val="22"/>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zNjNjNlNGMyMTUxMmRhYjdmNjcxNDlhZmU4NTIifQ=="/>
  </w:docVars>
  <w:rsids>
    <w:rsidRoot w:val="09AF5F8A"/>
    <w:rsid w:val="09AF5F8A"/>
    <w:rsid w:val="20254DB9"/>
    <w:rsid w:val="35F1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Chars="0" w:firstLine="210"/>
    </w:pPr>
    <w:rPr>
      <w:sz w:val="21"/>
    </w:rPr>
  </w:style>
  <w:style w:type="paragraph" w:styleId="3">
    <w:name w:val="Body Text Indent"/>
    <w:basedOn w:val="1"/>
    <w:next w:val="4"/>
    <w:qFormat/>
    <w:uiPriority w:val="0"/>
    <w:pPr>
      <w:ind w:firstLine="645"/>
    </w:pPr>
    <w:rPr>
      <w:sz w:val="32"/>
      <w:szCs w:val="18"/>
    </w:rPr>
  </w:style>
  <w:style w:type="paragraph" w:styleId="4">
    <w:name w:val="envelope return"/>
    <w:basedOn w:val="1"/>
    <w:qFormat/>
    <w:uiPriority w:val="0"/>
    <w:pPr>
      <w:widowControl/>
      <w:snapToGrid w:val="0"/>
      <w:jc w:val="left"/>
    </w:pPr>
    <w:rPr>
      <w:rFonts w:ascii="Arial" w:hAnsi="Arial" w:cs="Arial"/>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1675</Words>
  <Characters>1740</Characters>
  <Lines>0</Lines>
  <Paragraphs>0</Paragraphs>
  <TotalTime>4</TotalTime>
  <ScaleCrop>false</ScaleCrop>
  <LinksUpToDate>false</LinksUpToDate>
  <CharactersWithSpaces>1740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2022-09-03T01:33:00Z</dcterms:created>
  <dc:creator>大唐门里的三少爷</dc:creator>
  <cp:lastModifiedBy>大唐门里的三少爷</cp:lastModifiedBy>
  <cp:lastPrinted>2022-09-06T08:23:00Z</cp:lastPrinted>
  <dcterms:modified xsi:type="dcterms:W3CDTF">2022-09-08T01:37:33Z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959F194277EE4BBF83A01F279B743F76</vt:lpwstr>
  </property>
</Properties>
</file>