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濉溪县医院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内镜中心清洗消毒设备</w:t>
      </w:r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采购需求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89"/>
        <w:gridCol w:w="3000"/>
        <w:gridCol w:w="1320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</w:rPr>
              <w:t>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设备名称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数量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内镜清洗工作站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合同签订后30个工作日内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全自动清洗消毒机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合同签订后30个工作日内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  <w:t>预算价：</w:t>
            </w: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9.8万元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总体要求：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★按软式内镜清洗消毒技术规范WS507-2016及内镜清洗工作站行业规范YY0992-2016标准设计制造，各项指标应符合这两个规范要求。要与科室现有内镜追溯系统无缝对接。</w:t>
      </w:r>
    </w:p>
    <w:p>
      <w:pPr>
        <w:rPr>
          <w:rFonts w:hint="eastAsia" w:ascii="宋体" w:hAnsi="宋体" w:eastAsia="宋体" w:cs="宋体"/>
          <w:sz w:val="2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（一）</w:t>
      </w:r>
      <w:r>
        <w:rPr>
          <w:rFonts w:hint="eastAsia" w:ascii="宋体" w:hAnsi="宋体" w:eastAsia="宋体" w:cs="宋体"/>
          <w:sz w:val="24"/>
          <w:szCs w:val="28"/>
        </w:rPr>
        <w:t>内镜清洗工作站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1. 台面、洗消槽及干燥台等主体的技术要求：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8"/>
        </w:rPr>
        <w:t>工作站功能槽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应</w:t>
      </w:r>
      <w:r>
        <w:rPr>
          <w:rFonts w:hint="eastAsia" w:ascii="宋体" w:hAnsi="宋体" w:eastAsia="宋体" w:cs="宋体"/>
          <w:sz w:val="24"/>
          <w:szCs w:val="28"/>
        </w:rPr>
        <w:t>采用能耐受化学腐蚀及机械应力的高分子复合材料板材制作。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具备扛</w:t>
      </w:r>
      <w:r>
        <w:rPr>
          <w:rFonts w:hint="eastAsia" w:ascii="宋体" w:hAnsi="宋体" w:eastAsia="宋体" w:cs="宋体"/>
          <w:sz w:val="24"/>
          <w:szCs w:val="28"/>
        </w:rPr>
        <w:t>压强度高、弹性好、耐侯性优良，抗氧化、耐酸碱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8"/>
        </w:rPr>
        <w:t>表面光滑、易清洗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8"/>
        </w:rPr>
        <w:t>耐磨损寿命长，损伤后易修复等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特点</w:t>
      </w:r>
      <w:r>
        <w:rPr>
          <w:rFonts w:hint="eastAsia" w:ascii="宋体" w:hAnsi="宋体" w:eastAsia="宋体" w:cs="宋体"/>
          <w:sz w:val="24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8"/>
        </w:rPr>
        <w:t>板材基材大于8mm。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8"/>
        </w:rPr>
        <w:t>台面倾斜式防泛水设计，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可</w:t>
      </w:r>
      <w:r>
        <w:rPr>
          <w:rFonts w:hint="eastAsia" w:ascii="宋体" w:hAnsi="宋体" w:eastAsia="宋体" w:cs="宋体"/>
          <w:sz w:val="24"/>
          <w:szCs w:val="28"/>
        </w:rPr>
        <w:t>防止清洗溅水污染室内地面，最前方采用大圆弧台面造型设计，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可为</w:t>
      </w:r>
      <w:r>
        <w:rPr>
          <w:rFonts w:hint="eastAsia" w:ascii="宋体" w:hAnsi="宋体" w:eastAsia="宋体" w:cs="宋体"/>
          <w:sz w:val="24"/>
          <w:szCs w:val="28"/>
        </w:rPr>
        <w:t>内镜洗消人员提供腰腹部支撑。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2、中心气体处理器的技术要求。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气压调节范围：0～0.75Mpa,另外设有注气压力调节器（不高于0.02 Mpa），专为内镜腔道提供清洁而又安全的气压，无耗材、免维护、免清洁。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3、 给排水系统技术要求：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给水系统材质：不锈钢材质水龙头，陶瓷阀芯，360度旋转式设计，有冷热水接口，冷热水开关独立控制，方便灵活。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排水系统</w:t>
      </w:r>
      <w:r>
        <w:rPr>
          <w:rFonts w:hint="eastAsia" w:ascii="宋体" w:hAnsi="宋体" w:eastAsia="宋体" w:cs="宋体"/>
          <w:sz w:val="24"/>
          <w:szCs w:val="28"/>
        </w:rPr>
        <w:t>材质</w:t>
      </w:r>
      <w:r>
        <w:rPr>
          <w:rFonts w:hint="eastAsia" w:ascii="宋体" w:hAnsi="宋体" w:eastAsia="宋体" w:cs="宋体"/>
          <w:sz w:val="24"/>
          <w:szCs w:val="28"/>
        </w:rPr>
        <w:t>：耐腐蚀下水器；优质PVC钢丝排水管及PVC—U 用排水管及管件。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sz w:val="24"/>
          <w:szCs w:val="28"/>
        </w:rPr>
        <w:t>全自动清洗消毒机技术要求：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8"/>
        </w:rPr>
        <w:t>用途: 适用于各种型号的软式内窥镜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8"/>
        </w:rPr>
        <w:t>配置需求:A)主机1台。B)清洗连接头1套。C)连接进水管2根。E)超滤过滤器（外置）1个F)说明书资质等一份。G）内镜编号卡和人员操作卡各5张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8"/>
        </w:rPr>
        <w:t>详细参数: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8"/>
        </w:rPr>
        <w:t>具备全过程故障报警功能并直观体现在显示屏上：消毒液不足报警；清洗酶不足报警；酒精不足报警；过滤器太脏或水压太低或太高报警；内镜漏气报警；排水受堵报警；消毒槽水位太低报警。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）支持</w:t>
      </w:r>
      <w:r>
        <w:rPr>
          <w:rFonts w:hint="eastAsia" w:ascii="宋体" w:hAnsi="宋体" w:eastAsia="宋体" w:cs="宋体"/>
          <w:sz w:val="24"/>
          <w:szCs w:val="28"/>
        </w:rPr>
        <w:t>三通道清洗消毒，全程灌流、灌气，清洗消毒无死角，使用高分子材质透明塑料盖，可以清晰的观察清洗消毒情况。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8"/>
        </w:rPr>
        <w:t>具备自身消毒功能，采用消毒液可对机器内部全管道、腔体进行循环冲洗、浸泡消毒，可定期进行自身消毒或出现阳性病人时的自身消毒处理，消毒液储存箱盖可拆卸，方便清洗。</w:t>
      </w:r>
    </w:p>
    <w:p>
      <w:pPr>
        <w:widowControl w:val="0"/>
        <w:spacing w:line="360" w:lineRule="auto"/>
        <w:ind w:firstLine="0"/>
        <w:jc w:val="both"/>
        <w:rPr>
          <w:rFonts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  <w:t>二、质保要求</w:t>
      </w:r>
    </w:p>
    <w:p>
      <w:pPr>
        <w:widowControl w:val="0"/>
        <w:spacing w:line="288" w:lineRule="auto"/>
        <w:ind w:firstLine="0"/>
        <w:jc w:val="both"/>
        <w:rPr>
          <w:rFonts w:ascii="宋体" w:hAnsi="宋体" w:eastAsia="宋体" w:cs="宋体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不少于二十四个月原厂免费质保。</w:t>
      </w:r>
    </w:p>
    <w:p>
      <w:pPr>
        <w:widowControl w:val="0"/>
        <w:spacing w:line="288" w:lineRule="auto"/>
        <w:ind w:firstLine="0"/>
        <w:jc w:val="both"/>
        <w:rPr>
          <w:rFonts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  <w:t>三、评分办法</w:t>
      </w:r>
    </w:p>
    <w:tbl>
      <w:tblPr>
        <w:tblStyle w:val="3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84"/>
        <w:gridCol w:w="5466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指标、分值</w:t>
            </w:r>
          </w:p>
        </w:tc>
        <w:tc>
          <w:tcPr>
            <w:tcW w:w="54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评审细则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技术分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（70分）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响应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（28分）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综合性能及先进性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（16分）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满分16分：优秀16-13分，良好12-8分，较好7-4分，一般3-1分。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售后服务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满分10分：优秀10-7分，良好6-4分，一般3-1分，没有不得分。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质量保证期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（4分）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在满足招标文件要求的基础上,每增加1年免费质保得2分,满分4分。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产品业绩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（12分）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提供自 2019年 1 月 1 日起，公立医院，所投产品的业绩合同或有关证明材料，每提供一个得 2 分,最多得 12分。 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114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价格分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（30分）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投标报价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要求如下：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①取满足招标文件且有效，投标价格最低的投标报价为评标基准价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②投标报价得分=（评标基准价/ 投标报价）×30%×100；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③所算出的投标报价得分即为价格分。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计算结果保留两位小数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MzNjNjNlNGMyMTUxMmRhYjdmNjcxNDlhZmU4NTIifQ=="/>
  </w:docVars>
  <w:rsids>
    <w:rsidRoot w:val="00784E50"/>
    <w:rsid w:val="00784E50"/>
    <w:rsid w:val="0080306C"/>
    <w:rsid w:val="5686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16"/>
      <w:szCs w:val="16"/>
      <w:lang w:val="zh-CN" w:bidi="zh-CN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1000</Words>
  <Characters>1068</Characters>
  <Lines>7</Lines>
  <Paragraphs>2</Paragraphs>
  <TotalTime>1</TotalTime>
  <ScaleCrop>false</ScaleCrop>
  <LinksUpToDate>false</LinksUpToDate>
  <CharactersWithSpaces>1075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2022-10-10T01:38:00Z</dcterms:created>
  <dc:creator>Administrator</dc:creator>
  <cp:lastModifiedBy>大唐门里的三少爷</cp:lastModifiedBy>
  <dcterms:modified xsi:type="dcterms:W3CDTF">2022-10-13T00:58:42Z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11E5E9F4F58B4C6BA9C7101141545B76</vt:lpwstr>
  </property>
</Properties>
</file>