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医保综合服务端采购需求</w:t>
      </w:r>
    </w:p>
    <w:tbl>
      <w:tblPr>
        <w:tblStyle w:val="8"/>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1"/>
        <w:gridCol w:w="2568"/>
        <w:gridCol w:w="991"/>
        <w:gridCol w:w="3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2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256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设备名称</w:t>
            </w:r>
          </w:p>
        </w:tc>
        <w:tc>
          <w:tcPr>
            <w:tcW w:w="99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数量</w:t>
            </w:r>
          </w:p>
        </w:tc>
        <w:tc>
          <w:tcPr>
            <w:tcW w:w="387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供货期限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92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256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医保业务综合服务终端（人脸识别终端）</w:t>
            </w:r>
          </w:p>
        </w:tc>
        <w:tc>
          <w:tcPr>
            <w:tcW w:w="99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387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合同签订后7个工作日内</w:t>
            </w:r>
          </w:p>
        </w:tc>
      </w:tr>
    </w:tbl>
    <w:p>
      <w:pPr>
        <w:keepNext w:val="0"/>
        <w:keepLines w:val="0"/>
        <w:pageBreakBefore w:val="0"/>
        <w:widowControl w:val="0"/>
        <w:kinsoku/>
        <w:wordWrap/>
        <w:overflowPunct/>
        <w:topLinePunct w:val="0"/>
        <w:autoSpaceDE/>
        <w:autoSpaceDN/>
        <w:bidi w:val="0"/>
        <w:adjustRightInd/>
        <w:snapToGrid w:val="0"/>
        <w:spacing w:before="292" w:beforeLines="50" w:line="360" w:lineRule="auto"/>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总预算：15万元</w:t>
      </w:r>
    </w:p>
    <w:p>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一、</w:t>
      </w:r>
      <w:r>
        <w:rPr>
          <w:rFonts w:hint="eastAsia" w:ascii="宋体" w:hAnsi="宋体" w:eastAsia="宋体" w:cs="宋体"/>
          <w:b/>
          <w:bCs/>
          <w:sz w:val="24"/>
          <w:szCs w:val="24"/>
        </w:rPr>
        <w:t>建设目标</w:t>
      </w:r>
    </w:p>
    <w:p>
      <w:pPr>
        <w:keepNext w:val="0"/>
        <w:keepLines w:val="0"/>
        <w:pageBreakBefore w:val="0"/>
        <w:widowControl w:val="0"/>
        <w:kinsoku/>
        <w:wordWrap/>
        <w:overflowPunct/>
        <w:topLinePunct w:val="0"/>
        <w:autoSpaceDE/>
        <w:autoSpaceDN/>
        <w:bidi w:val="0"/>
        <w:adjustRightInd/>
        <w:snapToGrid w:val="0"/>
        <w:spacing w:line="312" w:lineRule="auto"/>
        <w:ind w:firstLine="472" w:firstLineChars="200"/>
        <w:textAlignment w:val="auto"/>
        <w:rPr>
          <w:rFonts w:hint="eastAsia" w:ascii="宋体" w:hAnsi="宋体" w:eastAsia="宋体" w:cs="宋体"/>
          <w:sz w:val="24"/>
          <w:szCs w:val="24"/>
        </w:rPr>
      </w:pPr>
      <w:r>
        <w:rPr>
          <w:rFonts w:hint="eastAsia" w:ascii="宋体" w:hAnsi="宋体" w:eastAsia="宋体" w:cs="宋体"/>
          <w:sz w:val="24"/>
          <w:szCs w:val="24"/>
        </w:rPr>
        <w:t>围绕构建全省医保便捷可及的“大服务”体系、本项目将致力于形成安徽省濉溪县医院医保电子凭证的综合应用，提供7×24小时稳定运行的安全、可靠、可用、易用的基础运行保障环境保障业务系统高可用，降低医院医保业务生产运营风险，提升管理和服务质量的建设目标。</w:t>
      </w:r>
    </w:p>
    <w:p>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二、</w:t>
      </w:r>
      <w:r>
        <w:rPr>
          <w:rFonts w:hint="eastAsia" w:ascii="宋体" w:hAnsi="宋体" w:eastAsia="宋体" w:cs="宋体"/>
          <w:b/>
          <w:bCs/>
          <w:sz w:val="24"/>
          <w:szCs w:val="24"/>
        </w:rPr>
        <w:t>建设内容</w:t>
      </w:r>
    </w:p>
    <w:p>
      <w:pPr>
        <w:keepNext w:val="0"/>
        <w:keepLines w:val="0"/>
        <w:pageBreakBefore w:val="0"/>
        <w:widowControl w:val="0"/>
        <w:kinsoku/>
        <w:wordWrap/>
        <w:overflowPunct/>
        <w:topLinePunct w:val="0"/>
        <w:autoSpaceDE/>
        <w:autoSpaceDN/>
        <w:bidi w:val="0"/>
        <w:adjustRightInd/>
        <w:snapToGrid w:val="0"/>
        <w:spacing w:line="312" w:lineRule="auto"/>
        <w:ind w:firstLine="472" w:firstLineChars="200"/>
        <w:textAlignment w:val="auto"/>
        <w:rPr>
          <w:rFonts w:hint="eastAsia" w:ascii="宋体" w:hAnsi="宋体" w:eastAsia="宋体" w:cs="宋体"/>
          <w:sz w:val="24"/>
          <w:szCs w:val="24"/>
        </w:rPr>
      </w:pPr>
      <w:r>
        <w:rPr>
          <w:rFonts w:hint="eastAsia" w:ascii="宋体" w:hAnsi="宋体" w:eastAsia="宋体" w:cs="宋体"/>
          <w:sz w:val="24"/>
          <w:szCs w:val="24"/>
        </w:rPr>
        <w:t>按照招标文件要求，结合安徽省信息化建设现状和医保发展实际业务需求，围绕惠民利民的宗旨，以参保单位、参保群众、医药机构、药品耗材生产与配送企业等为服务对象，提供濉溪县医院人脸识别智能终端设备、配套软件和相关咨询运维服务。</w:t>
      </w:r>
    </w:p>
    <w:p>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系统集成要求</w:t>
      </w: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与医院相关应用系统对接</w:t>
      </w:r>
    </w:p>
    <w:p>
      <w:pPr>
        <w:keepNext w:val="0"/>
        <w:keepLines w:val="0"/>
        <w:pageBreakBefore w:val="0"/>
        <w:widowControl w:val="0"/>
        <w:kinsoku/>
        <w:wordWrap/>
        <w:overflowPunct/>
        <w:topLinePunct w:val="0"/>
        <w:autoSpaceDE/>
        <w:autoSpaceDN/>
        <w:bidi w:val="0"/>
        <w:adjustRightInd/>
        <w:snapToGrid w:val="0"/>
        <w:spacing w:line="312" w:lineRule="auto"/>
        <w:ind w:firstLine="472" w:firstLineChars="200"/>
        <w:textAlignment w:val="auto"/>
        <w:rPr>
          <w:rFonts w:hint="eastAsia" w:ascii="宋体" w:hAnsi="宋体" w:eastAsia="宋体" w:cs="宋体"/>
          <w:sz w:val="24"/>
          <w:szCs w:val="24"/>
        </w:rPr>
      </w:pPr>
      <w:r>
        <w:rPr>
          <w:rFonts w:hint="eastAsia" w:ascii="宋体" w:hAnsi="宋体" w:eastAsia="宋体" w:cs="宋体"/>
          <w:sz w:val="24"/>
          <w:szCs w:val="24"/>
        </w:rPr>
        <w:t>该项目是医保信息平台建设过程中的医保智能终端应用，需与医保两定医药机构医保结算相关信息系统完成设备对接。</w:t>
      </w:r>
    </w:p>
    <w:p>
      <w:pPr>
        <w:keepNext w:val="0"/>
        <w:keepLines w:val="0"/>
        <w:pageBreakBefore w:val="0"/>
        <w:widowControl w:val="0"/>
        <w:kinsoku/>
        <w:wordWrap/>
        <w:overflowPunct/>
        <w:topLinePunct w:val="0"/>
        <w:autoSpaceDE/>
        <w:autoSpaceDN/>
        <w:bidi w:val="0"/>
        <w:adjustRightInd/>
        <w:snapToGrid w:val="0"/>
        <w:spacing w:line="312" w:lineRule="auto"/>
        <w:ind w:firstLine="472" w:firstLineChars="200"/>
        <w:textAlignment w:val="auto"/>
        <w:rPr>
          <w:rFonts w:hint="eastAsia" w:ascii="宋体" w:hAnsi="宋体" w:eastAsia="宋体" w:cs="宋体"/>
          <w:sz w:val="24"/>
          <w:szCs w:val="24"/>
        </w:rPr>
      </w:pPr>
      <w:r>
        <w:rPr>
          <w:rFonts w:hint="eastAsia" w:ascii="宋体" w:hAnsi="宋体" w:eastAsia="宋体" w:cs="宋体"/>
          <w:sz w:val="24"/>
          <w:szCs w:val="24"/>
        </w:rPr>
        <w:t>需支持人脸、身份证、医保电子凭证扫码等功能，在设备上完成医保刷卡就医、结算应用等业务。</w:t>
      </w:r>
    </w:p>
    <w:p>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宋体" w:hAnsi="宋体" w:eastAsia="宋体" w:cs="宋体"/>
          <w:sz w:val="24"/>
          <w:szCs w:val="24"/>
        </w:rPr>
      </w:pPr>
      <w:r>
        <w:rPr>
          <w:rFonts w:hint="eastAsia" w:ascii="宋体" w:hAnsi="宋体" w:eastAsia="宋体" w:cs="宋体"/>
          <w:sz w:val="24"/>
          <w:szCs w:val="24"/>
        </w:rPr>
        <w:t>2.产品供货要求</w:t>
      </w:r>
    </w:p>
    <w:p>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1.招标方不接受厂商已停产或即将停产（自投标日起1年内）的产品。</w:t>
      </w:r>
    </w:p>
    <w:p>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2.投标方提供的产品在升级、扩展时不应改变整个系统的结构、通信方式、管理模式，不应破坏应用软件的正常工作环境。</w:t>
      </w:r>
    </w:p>
    <w:p>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3.投标方提供的产品应符合开放性标准，并能与满足相同标准的同类产品兼容集成。</w:t>
      </w:r>
    </w:p>
    <w:p>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4.投标方需将其供货产品运送到招标方指定现场。</w:t>
      </w:r>
    </w:p>
    <w:p>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5.投标方提供的货物，应保证包装完好、数量与供货产品清单相符。投标方提供的产品送货到招标方指定现场后，应该会同招标方进行开箱点货验收。点货验收前，投标方需提供完整清晰的供货清单。点货验收后，双方签字确认，并将货物的保管权移交给招标方。招标方在保管期内只对货物的数量和外观原状负责。</w:t>
      </w:r>
    </w:p>
    <w:p>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6.投标方提供产品和软件的安装、测试和安装验收过程中的完整文档。</w:t>
      </w:r>
    </w:p>
    <w:p>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7.投标方提供的产品若具有固有的设计缺陷，则不能因超过质保期而解除投标方对该产品应承担的修复和更换责任。</w:t>
      </w:r>
    </w:p>
    <w:p>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8.投标方在质保和运维期内，需提供包括但不限于软件的运行状况和健康检查服务；系统性能和状态的检查和分析服务；预防性维护和健康检查服务，对系统或设备进行预防性检查，以确保系统或设备处于良好的工作状态；软件安装、变更、升级等服务（不限次数和环境）；性能诊断和性能调优服务，及时解决软件在运行中出现的异常；故障排除服务；定期对软件进行巡检服务，包括系统健康检查；按招标方要求，定期提供软件运行及维护工作总结报告。</w:t>
      </w:r>
    </w:p>
    <w:p>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9.在保修期结束前，需由原产品制造厂家和招标方代表进行一次全面检查，任何缺陷由投标方负责修理，在修理之后，投标方应将缺陷原因、修理内容、完成修理及恢复正</w:t>
      </w:r>
      <w:r>
        <w:rPr>
          <w:rFonts w:hint="eastAsia" w:ascii="宋体" w:hAnsi="宋体" w:eastAsia="宋体" w:cs="宋体"/>
          <w:sz w:val="24"/>
          <w:szCs w:val="24"/>
          <w:lang w:val="en-US" w:eastAsia="zh-CN"/>
        </w:rPr>
        <w:t>2.10.</w:t>
      </w:r>
      <w:r>
        <w:rPr>
          <w:rFonts w:hint="eastAsia" w:ascii="宋体" w:hAnsi="宋体" w:eastAsia="宋体" w:cs="宋体"/>
          <w:sz w:val="24"/>
          <w:szCs w:val="24"/>
        </w:rPr>
        <w:t>根据进度要求完成安装、调试及上线运行。免费质保及运维期3年。</w:t>
      </w:r>
    </w:p>
    <w:p>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技术参数及功能要求</w:t>
      </w:r>
    </w:p>
    <w:tbl>
      <w:tblPr>
        <w:tblStyle w:val="7"/>
        <w:tblW w:w="8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1519"/>
        <w:gridCol w:w="6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2400"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模块</w:t>
            </w:r>
          </w:p>
        </w:tc>
        <w:tc>
          <w:tcPr>
            <w:tcW w:w="6539"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jc w:val="center"/>
        </w:trPr>
        <w:tc>
          <w:tcPr>
            <w:tcW w:w="2400"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主机模块</w:t>
            </w:r>
          </w:p>
        </w:tc>
        <w:tc>
          <w:tcPr>
            <w:tcW w:w="6539"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sz w:val="24"/>
                <w:szCs w:val="24"/>
              </w:rPr>
            </w:pPr>
            <w:r>
              <w:rPr>
                <w:rFonts w:hint="eastAsia" w:ascii="宋体" w:hAnsi="宋体" w:eastAsia="宋体" w:cs="宋体"/>
                <w:sz w:val="24"/>
                <w:szCs w:val="24"/>
              </w:rPr>
              <w:t>处理器：高通骁龙SDM450 8核以上</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sz w:val="24"/>
                <w:szCs w:val="24"/>
              </w:rPr>
            </w:pPr>
            <w:r>
              <w:rPr>
                <w:rFonts w:hint="eastAsia" w:ascii="宋体" w:hAnsi="宋体" w:eastAsia="宋体" w:cs="宋体"/>
                <w:sz w:val="24"/>
                <w:szCs w:val="24"/>
              </w:rPr>
              <w:t>操作系统：Android 8.1 64bits以上</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sz w:val="24"/>
                <w:szCs w:val="24"/>
              </w:rPr>
            </w:pPr>
            <w:r>
              <w:rPr>
                <w:rFonts w:hint="eastAsia" w:ascii="宋体" w:hAnsi="宋体" w:eastAsia="宋体" w:cs="宋体"/>
                <w:sz w:val="24"/>
                <w:szCs w:val="24"/>
              </w:rPr>
              <w:t>储存器：≥4 GB RAM+64GB ROM</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sz w:val="24"/>
                <w:szCs w:val="24"/>
              </w:rPr>
            </w:pPr>
            <w:r>
              <w:rPr>
                <w:rFonts w:hint="eastAsia" w:ascii="宋体" w:hAnsi="宋体" w:eastAsia="宋体" w:cs="宋体"/>
                <w:sz w:val="24"/>
                <w:szCs w:val="24"/>
              </w:rPr>
              <w:t>摄像头：内置式，3D结构光人脸识别摄像头</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sz w:val="24"/>
                <w:szCs w:val="24"/>
              </w:rPr>
            </w:pPr>
            <w:r>
              <w:rPr>
                <w:rFonts w:hint="eastAsia" w:ascii="宋体" w:hAnsi="宋体" w:eastAsia="宋体" w:cs="宋体"/>
                <w:sz w:val="24"/>
                <w:szCs w:val="24"/>
              </w:rPr>
              <w:t>安全芯片+防拆：摄像头、主板核心部位要求具有加密和防拆功能，保障硬件安全性，防止信息泄露及系统被攻击、拆机自毁功能。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2400"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触显模块</w:t>
            </w:r>
          </w:p>
        </w:tc>
        <w:tc>
          <w:tcPr>
            <w:tcW w:w="6539"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sz w:val="24"/>
                <w:szCs w:val="24"/>
              </w:rPr>
            </w:pPr>
            <w:r>
              <w:rPr>
                <w:rFonts w:hint="eastAsia" w:ascii="宋体" w:hAnsi="宋体" w:eastAsia="宋体" w:cs="宋体"/>
                <w:sz w:val="24"/>
                <w:szCs w:val="24"/>
              </w:rPr>
              <w:t>主屏：≥8 寸 TFT 全视角液晶屏</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sz w:val="24"/>
                <w:szCs w:val="24"/>
              </w:rPr>
            </w:pPr>
            <w:r>
              <w:rPr>
                <w:rFonts w:hint="eastAsia" w:ascii="宋体" w:hAnsi="宋体" w:eastAsia="宋体" w:cs="宋体"/>
                <w:sz w:val="24"/>
                <w:szCs w:val="24"/>
              </w:rPr>
              <w:t>分辨率：≥ 800x1280</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sz w:val="24"/>
                <w:szCs w:val="24"/>
              </w:rPr>
            </w:pPr>
            <w:r>
              <w:rPr>
                <w:rFonts w:hint="eastAsia" w:ascii="宋体" w:hAnsi="宋体" w:eastAsia="宋体" w:cs="宋体"/>
                <w:sz w:val="24"/>
                <w:szCs w:val="24"/>
              </w:rPr>
              <w:t>全贴合电容多点触摸屏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7" w:hRule="atLeast"/>
          <w:jc w:val="center"/>
        </w:trPr>
        <w:tc>
          <w:tcPr>
            <w:tcW w:w="881"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交易模块</w:t>
            </w:r>
          </w:p>
        </w:tc>
        <w:tc>
          <w:tcPr>
            <w:tcW w:w="1519"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磁条卡读卡模块</w:t>
            </w:r>
          </w:p>
        </w:tc>
        <w:tc>
          <w:tcPr>
            <w:tcW w:w="6539"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sz w:val="24"/>
                <w:szCs w:val="24"/>
              </w:rPr>
            </w:pPr>
            <w:r>
              <w:rPr>
                <w:rFonts w:hint="eastAsia" w:ascii="宋体" w:hAnsi="宋体" w:eastAsia="宋体" w:cs="宋体"/>
                <w:sz w:val="24"/>
                <w:szCs w:val="24"/>
              </w:rPr>
              <w:t>拉卡速度：0~120cm/s</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sz w:val="24"/>
                <w:szCs w:val="24"/>
              </w:rPr>
            </w:pPr>
            <w:r>
              <w:rPr>
                <w:rFonts w:hint="eastAsia" w:ascii="宋体" w:hAnsi="宋体" w:eastAsia="宋体" w:cs="宋体"/>
                <w:sz w:val="24"/>
                <w:szCs w:val="24"/>
              </w:rPr>
              <w:t>记录格式：兼容IBM、ISO格式</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sz w:val="24"/>
                <w:szCs w:val="24"/>
              </w:rPr>
            </w:pPr>
            <w:r>
              <w:rPr>
                <w:rFonts w:hint="eastAsia" w:ascii="宋体" w:hAnsi="宋体" w:eastAsia="宋体" w:cs="宋体"/>
                <w:sz w:val="24"/>
                <w:szCs w:val="24"/>
              </w:rPr>
              <w:t>支持全三轨磁道读取，支持双向刷卡</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sz w:val="24"/>
                <w:szCs w:val="24"/>
              </w:rPr>
            </w:pPr>
            <w:r>
              <w:rPr>
                <w:rFonts w:hint="eastAsia" w:ascii="宋体" w:hAnsi="宋体" w:eastAsia="宋体" w:cs="宋体"/>
                <w:sz w:val="24"/>
                <w:szCs w:val="24"/>
              </w:rPr>
              <w:t>记录密度：第一轨210PBI，最多79字符。第二轨75BPI/210BPI可选，最多37/107个字符。第三轨210BPI，最多107个字符</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sz w:val="24"/>
                <w:szCs w:val="24"/>
              </w:rPr>
            </w:pPr>
            <w:r>
              <w:rPr>
                <w:rFonts w:hint="eastAsia" w:ascii="宋体" w:hAnsi="宋体" w:eastAsia="宋体" w:cs="宋体"/>
                <w:sz w:val="24"/>
                <w:szCs w:val="24"/>
              </w:rPr>
              <w:t>磁头寿命：&gt;50万次</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sz w:val="24"/>
                <w:szCs w:val="24"/>
              </w:rPr>
            </w:pPr>
            <w:r>
              <w:rPr>
                <w:rFonts w:hint="eastAsia" w:ascii="宋体" w:hAnsi="宋体" w:eastAsia="宋体" w:cs="宋体"/>
                <w:sz w:val="24"/>
                <w:szCs w:val="24"/>
              </w:rPr>
              <w:t>支持1.8V，3.3V，5V。</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sz w:val="24"/>
                <w:szCs w:val="24"/>
              </w:rPr>
            </w:pPr>
            <w:r>
              <w:rPr>
                <w:rFonts w:hint="eastAsia" w:ascii="宋体" w:hAnsi="宋体" w:eastAsia="宋体" w:cs="宋体"/>
                <w:sz w:val="24"/>
                <w:szCs w:val="24"/>
              </w:rPr>
              <w:t>符合ISO/IEC 7816标准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88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p>
        </w:tc>
        <w:tc>
          <w:tcPr>
            <w:tcW w:w="1519"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社保卡读卡模块</w:t>
            </w:r>
          </w:p>
        </w:tc>
        <w:tc>
          <w:tcPr>
            <w:tcW w:w="6539"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sz w:val="24"/>
                <w:szCs w:val="24"/>
              </w:rPr>
            </w:pPr>
            <w:r>
              <w:rPr>
                <w:rFonts w:hint="eastAsia" w:ascii="宋体" w:hAnsi="宋体" w:eastAsia="宋体" w:cs="宋体"/>
                <w:sz w:val="24"/>
                <w:szCs w:val="24"/>
              </w:rPr>
              <w:t>支持异步卡如T=0、T=1的CPU卡，同步卡如常用的存储卡AT24系列、4442、4428等卡型</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sz w:val="24"/>
                <w:szCs w:val="24"/>
              </w:rPr>
            </w:pPr>
            <w:r>
              <w:rPr>
                <w:rFonts w:hint="eastAsia" w:ascii="宋体" w:hAnsi="宋体" w:eastAsia="宋体" w:cs="宋体"/>
                <w:sz w:val="24"/>
                <w:szCs w:val="24"/>
              </w:rPr>
              <w:t>T=0：9600-38400bps，T=1：9600-115200bps</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sz w:val="24"/>
                <w:szCs w:val="24"/>
              </w:rPr>
            </w:pPr>
            <w:r>
              <w:rPr>
                <w:rFonts w:hint="eastAsia" w:ascii="宋体" w:hAnsi="宋体" w:eastAsia="宋体" w:cs="宋体"/>
                <w:sz w:val="24"/>
                <w:szCs w:val="24"/>
              </w:rPr>
              <w:t>卡触点可使用次数20万次</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sz w:val="24"/>
                <w:szCs w:val="24"/>
              </w:rPr>
            </w:pPr>
            <w:r>
              <w:rPr>
                <w:rFonts w:hint="eastAsia" w:ascii="宋体" w:hAnsi="宋体" w:eastAsia="宋体" w:cs="宋体"/>
                <w:sz w:val="24"/>
                <w:szCs w:val="24"/>
              </w:rPr>
              <w:t>4个SIM卡座，支持1.8V，3.3V，5V</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sz w:val="24"/>
                <w:szCs w:val="24"/>
              </w:rPr>
            </w:pPr>
            <w:r>
              <w:rPr>
                <w:rFonts w:hint="eastAsia" w:ascii="宋体" w:hAnsi="宋体" w:eastAsia="宋体" w:cs="宋体"/>
                <w:sz w:val="24"/>
                <w:szCs w:val="24"/>
              </w:rPr>
              <w:t>符合ISO/IEC 7816标准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8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p>
        </w:tc>
        <w:tc>
          <w:tcPr>
            <w:tcW w:w="1519"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扫码识别</w:t>
            </w:r>
          </w:p>
        </w:tc>
        <w:tc>
          <w:tcPr>
            <w:tcW w:w="6539"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sz w:val="24"/>
                <w:szCs w:val="24"/>
              </w:rPr>
            </w:pPr>
            <w:r>
              <w:rPr>
                <w:rFonts w:hint="eastAsia" w:ascii="宋体" w:hAnsi="宋体" w:eastAsia="宋体" w:cs="宋体"/>
                <w:sz w:val="24"/>
                <w:szCs w:val="24"/>
              </w:rPr>
              <w:t>识别精度≥4mil</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sz w:val="24"/>
                <w:szCs w:val="24"/>
              </w:rPr>
            </w:pPr>
            <w:r>
              <w:rPr>
                <w:rFonts w:hint="eastAsia" w:ascii="宋体" w:hAnsi="宋体" w:eastAsia="宋体" w:cs="宋体"/>
                <w:sz w:val="24"/>
                <w:szCs w:val="24"/>
              </w:rPr>
              <w:t>嵌入式引擎，采集速度1/60秒,视场对角84°,水平72°,垂直54°，能识别多种码制。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1" w:hRule="atLeast"/>
          <w:jc w:val="center"/>
        </w:trPr>
        <w:tc>
          <w:tcPr>
            <w:tcW w:w="88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p>
        </w:tc>
        <w:tc>
          <w:tcPr>
            <w:tcW w:w="1519"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身份证阅读器</w:t>
            </w:r>
          </w:p>
        </w:tc>
        <w:tc>
          <w:tcPr>
            <w:tcW w:w="6539"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sz w:val="24"/>
                <w:szCs w:val="24"/>
              </w:rPr>
            </w:pPr>
            <w:r>
              <w:rPr>
                <w:rFonts w:hint="eastAsia" w:ascii="宋体" w:hAnsi="宋体" w:eastAsia="宋体" w:cs="宋体"/>
                <w:sz w:val="24"/>
                <w:szCs w:val="24"/>
              </w:rPr>
              <w:t>公安部认证模块，</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sz w:val="24"/>
                <w:szCs w:val="24"/>
              </w:rPr>
            </w:pPr>
            <w:r>
              <w:rPr>
                <w:rFonts w:hint="eastAsia" w:ascii="宋体" w:hAnsi="宋体" w:eastAsia="宋体" w:cs="宋体"/>
                <w:sz w:val="24"/>
                <w:szCs w:val="24"/>
              </w:rPr>
              <w:t>接口：USB接口；</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sz w:val="24"/>
                <w:szCs w:val="24"/>
              </w:rPr>
            </w:pPr>
            <w:r>
              <w:rPr>
                <w:rFonts w:hint="eastAsia" w:ascii="宋体" w:hAnsi="宋体" w:eastAsia="宋体" w:cs="宋体"/>
                <w:sz w:val="24"/>
                <w:szCs w:val="24"/>
              </w:rPr>
              <w:t>支持卡型：符合ISO/IEC 14443 TYPE B 标准的非接触卡；</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sz w:val="24"/>
                <w:szCs w:val="24"/>
              </w:rPr>
            </w:pPr>
            <w:r>
              <w:rPr>
                <w:rFonts w:hint="eastAsia" w:ascii="宋体" w:hAnsi="宋体" w:eastAsia="宋体" w:cs="宋体"/>
                <w:sz w:val="24"/>
                <w:szCs w:val="24"/>
              </w:rPr>
              <w:t>工作频率：13.56MHz ；</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sz w:val="24"/>
                <w:szCs w:val="24"/>
              </w:rPr>
            </w:pPr>
            <w:r>
              <w:rPr>
                <w:rFonts w:hint="eastAsia" w:ascii="宋体" w:hAnsi="宋体" w:eastAsia="宋体" w:cs="宋体"/>
                <w:sz w:val="24"/>
                <w:szCs w:val="24"/>
              </w:rPr>
              <w:t>通讯速率：106Kbps ；</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sz w:val="24"/>
                <w:szCs w:val="24"/>
              </w:rPr>
            </w:pPr>
            <w:r>
              <w:rPr>
                <w:rFonts w:hint="eastAsia" w:ascii="宋体" w:hAnsi="宋体" w:eastAsia="宋体" w:cs="宋体"/>
                <w:sz w:val="24"/>
                <w:szCs w:val="24"/>
              </w:rPr>
              <w:t>校验：循环冗余校验（CRC）；</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sz w:val="24"/>
                <w:szCs w:val="24"/>
              </w:rPr>
            </w:pPr>
            <w:r>
              <w:rPr>
                <w:rFonts w:hint="eastAsia" w:ascii="宋体" w:hAnsi="宋体" w:eastAsia="宋体" w:cs="宋体"/>
                <w:sz w:val="24"/>
                <w:szCs w:val="24"/>
              </w:rPr>
              <w:t>感应面积：55*55mm ；</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sz w:val="24"/>
                <w:szCs w:val="24"/>
              </w:rPr>
            </w:pPr>
            <w:r>
              <w:rPr>
                <w:rFonts w:hint="eastAsia" w:ascii="宋体" w:hAnsi="宋体" w:eastAsia="宋体" w:cs="宋体"/>
                <w:sz w:val="24"/>
                <w:szCs w:val="24"/>
              </w:rPr>
              <w:t>感应距离： 大于50mm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881"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金融模块</w:t>
            </w:r>
          </w:p>
        </w:tc>
        <w:tc>
          <w:tcPr>
            <w:tcW w:w="1519"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接触式IC卡读卡模块</w:t>
            </w:r>
          </w:p>
        </w:tc>
        <w:tc>
          <w:tcPr>
            <w:tcW w:w="6539"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sz w:val="24"/>
                <w:szCs w:val="24"/>
              </w:rPr>
            </w:pPr>
            <w:r>
              <w:rPr>
                <w:rFonts w:hint="eastAsia" w:ascii="宋体" w:hAnsi="宋体" w:eastAsia="宋体" w:cs="宋体"/>
                <w:sz w:val="24"/>
                <w:szCs w:val="24"/>
              </w:rPr>
              <w:t>接触式IC卡接口：需有1个外部用户IC卡插口，4个内部PSAM卡插口，外部IC卡支持符合ISO7816标准CPU卡、逻辑加密卡等</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sz w:val="24"/>
                <w:szCs w:val="24"/>
              </w:rPr>
            </w:pPr>
            <w:r>
              <w:rPr>
                <w:rFonts w:hint="eastAsia" w:ascii="宋体" w:hAnsi="宋体" w:eastAsia="宋体" w:cs="宋体"/>
                <w:sz w:val="24"/>
                <w:szCs w:val="24"/>
              </w:rPr>
              <w:t>通过认证：PBOC2018 Level1&amp;2</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sz w:val="24"/>
                <w:szCs w:val="24"/>
              </w:rPr>
            </w:pPr>
            <w:r>
              <w:rPr>
                <w:rFonts w:hint="eastAsia" w:ascii="宋体" w:hAnsi="宋体" w:eastAsia="宋体" w:cs="宋体"/>
                <w:sz w:val="24"/>
                <w:szCs w:val="24"/>
              </w:rPr>
              <w:t>接触式IC卡标准：符合ISO7816及PBOC3.0规范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4" w:hRule="atLeast"/>
          <w:jc w:val="center"/>
        </w:trPr>
        <w:tc>
          <w:tcPr>
            <w:tcW w:w="88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p>
        </w:tc>
        <w:tc>
          <w:tcPr>
            <w:tcW w:w="1519"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非接触式IC卡读卡模块</w:t>
            </w:r>
          </w:p>
        </w:tc>
        <w:tc>
          <w:tcPr>
            <w:tcW w:w="6539"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sz w:val="24"/>
                <w:szCs w:val="24"/>
              </w:rPr>
            </w:pPr>
            <w:r>
              <w:rPr>
                <w:rFonts w:hint="eastAsia" w:ascii="宋体" w:hAnsi="宋体" w:eastAsia="宋体" w:cs="宋体"/>
                <w:sz w:val="24"/>
                <w:szCs w:val="24"/>
              </w:rPr>
              <w:t>非接触式IC卡接口：符合ISO/IEC 14443协议标准，支持TypeA/B， Mifare卡</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sz w:val="24"/>
                <w:szCs w:val="24"/>
              </w:rPr>
            </w:pPr>
            <w:r>
              <w:rPr>
                <w:rFonts w:hint="eastAsia" w:ascii="宋体" w:hAnsi="宋体" w:eastAsia="宋体" w:cs="宋体"/>
                <w:sz w:val="24"/>
                <w:szCs w:val="24"/>
              </w:rPr>
              <w:t>通过认证：PBOC2018</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sz w:val="24"/>
                <w:szCs w:val="24"/>
              </w:rPr>
            </w:pPr>
            <w:r>
              <w:rPr>
                <w:rFonts w:hint="eastAsia" w:ascii="宋体" w:hAnsi="宋体" w:eastAsia="宋体" w:cs="宋体"/>
                <w:sz w:val="24"/>
                <w:szCs w:val="24"/>
              </w:rPr>
              <w:t>天线谐振频率：13.56MHz</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sz w:val="24"/>
                <w:szCs w:val="24"/>
              </w:rPr>
            </w:pPr>
            <w:r>
              <w:rPr>
                <w:rFonts w:hint="eastAsia" w:ascii="宋体" w:hAnsi="宋体" w:eastAsia="宋体" w:cs="宋体"/>
                <w:sz w:val="24"/>
                <w:szCs w:val="24"/>
              </w:rPr>
              <w:t>天线量能输出：天线表面磁声强度（Hmax)≦7.5A/m(rms),天线表面法线方向3cm处磁场强度（Hmin)≧1.5A/m(rms)</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sz w:val="24"/>
                <w:szCs w:val="24"/>
              </w:rPr>
            </w:pPr>
            <w:r>
              <w:rPr>
                <w:rFonts w:hint="eastAsia" w:ascii="宋体" w:hAnsi="宋体" w:eastAsia="宋体" w:cs="宋体"/>
                <w:sz w:val="24"/>
                <w:szCs w:val="24"/>
              </w:rPr>
              <w:t>机具调制输出：比特率：106Kbit/s(fc/f128)</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sz w:val="24"/>
                <w:szCs w:val="24"/>
              </w:rPr>
            </w:pPr>
            <w:r>
              <w:rPr>
                <w:rFonts w:hint="eastAsia" w:ascii="宋体" w:hAnsi="宋体" w:eastAsia="宋体" w:cs="宋体"/>
                <w:sz w:val="24"/>
                <w:szCs w:val="24"/>
              </w:rPr>
              <w:t>调制方式：ASK调制</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sz w:val="24"/>
                <w:szCs w:val="24"/>
              </w:rPr>
            </w:pPr>
            <w:r>
              <w:rPr>
                <w:rFonts w:hint="eastAsia" w:ascii="宋体" w:hAnsi="宋体" w:eastAsia="宋体" w:cs="宋体"/>
                <w:sz w:val="24"/>
                <w:szCs w:val="24"/>
              </w:rPr>
              <w:t>调制系数：8%~14%</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sz w:val="24"/>
                <w:szCs w:val="24"/>
              </w:rPr>
            </w:pPr>
            <w:r>
              <w:rPr>
                <w:rFonts w:hint="eastAsia" w:ascii="宋体" w:hAnsi="宋体" w:eastAsia="宋体" w:cs="宋体"/>
                <w:sz w:val="24"/>
                <w:szCs w:val="24"/>
              </w:rPr>
              <w:t>编码方式：NRZ-L</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sz w:val="24"/>
                <w:szCs w:val="24"/>
              </w:rPr>
            </w:pPr>
            <w:r>
              <w:rPr>
                <w:rFonts w:hint="eastAsia" w:ascii="宋体" w:hAnsi="宋体" w:eastAsia="宋体" w:cs="宋体"/>
                <w:sz w:val="24"/>
                <w:szCs w:val="24"/>
              </w:rPr>
              <w:t>副载波调制输入：频率（fs)847KHz,</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sz w:val="24"/>
                <w:szCs w:val="24"/>
              </w:rPr>
            </w:pPr>
            <w:r>
              <w:rPr>
                <w:rFonts w:hint="eastAsia" w:ascii="宋体" w:hAnsi="宋体" w:eastAsia="宋体" w:cs="宋体"/>
                <w:sz w:val="24"/>
                <w:szCs w:val="24"/>
              </w:rPr>
              <w:t>副载波调制方式：BPSK</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sz w:val="24"/>
                <w:szCs w:val="24"/>
              </w:rPr>
            </w:pPr>
            <w:r>
              <w:rPr>
                <w:rFonts w:hint="eastAsia" w:ascii="宋体" w:hAnsi="宋体" w:eastAsia="宋体" w:cs="宋体"/>
                <w:sz w:val="24"/>
                <w:szCs w:val="24"/>
              </w:rPr>
              <w:t>有效读卡距离：0~3cm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2400"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网络</w:t>
            </w:r>
          </w:p>
        </w:tc>
        <w:tc>
          <w:tcPr>
            <w:tcW w:w="6539"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sz w:val="24"/>
                <w:szCs w:val="24"/>
              </w:rPr>
            </w:pPr>
            <w:r>
              <w:rPr>
                <w:rFonts w:hint="eastAsia" w:ascii="宋体" w:hAnsi="宋体" w:eastAsia="宋体" w:cs="宋体"/>
                <w:sz w:val="24"/>
                <w:szCs w:val="24"/>
              </w:rPr>
              <w:t>SIM卡座:1个支持1.8V/3.0V</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sz w:val="24"/>
                <w:szCs w:val="24"/>
              </w:rPr>
            </w:pPr>
            <w:r>
              <w:rPr>
                <w:rFonts w:hint="eastAsia" w:ascii="宋体" w:hAnsi="宋体" w:eastAsia="宋体" w:cs="宋体"/>
                <w:sz w:val="24"/>
                <w:szCs w:val="24"/>
              </w:rPr>
              <w:t>国内版频段:</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sz w:val="24"/>
                <w:szCs w:val="24"/>
              </w:rPr>
            </w:pPr>
            <w:r>
              <w:rPr>
                <w:rFonts w:hint="eastAsia" w:ascii="宋体" w:hAnsi="宋体" w:eastAsia="宋体" w:cs="宋体"/>
                <w:sz w:val="24"/>
                <w:szCs w:val="24"/>
              </w:rPr>
              <w:t>2G：B2/B3/B5/B8；</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sz w:val="24"/>
                <w:szCs w:val="24"/>
              </w:rPr>
            </w:pPr>
            <w:r>
              <w:rPr>
                <w:rFonts w:hint="eastAsia" w:ascii="宋体" w:hAnsi="宋体" w:eastAsia="宋体" w:cs="宋体"/>
                <w:sz w:val="24"/>
                <w:szCs w:val="24"/>
              </w:rPr>
              <w:t>3G：WCDMA(B1/B8);TD-SCDMA(B34/39)；EVDO(BC0)</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sz w:val="24"/>
                <w:szCs w:val="24"/>
              </w:rPr>
            </w:pPr>
            <w:r>
              <w:rPr>
                <w:rFonts w:hint="eastAsia" w:ascii="宋体" w:hAnsi="宋体" w:eastAsia="宋体" w:cs="宋体"/>
                <w:sz w:val="24"/>
                <w:szCs w:val="24"/>
              </w:rPr>
              <w:t>4G：B1/B3/B38/B39/B40/B41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2400"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WiFi</w:t>
            </w:r>
          </w:p>
        </w:tc>
        <w:tc>
          <w:tcPr>
            <w:tcW w:w="6539"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2.4GHz &amp; 5GHz，支持IEEE 802.11 a/b/g/n/ac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2400"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接口</w:t>
            </w:r>
          </w:p>
        </w:tc>
        <w:tc>
          <w:tcPr>
            <w:tcW w:w="6539"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支持USB、以太网、RS232、Type-B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2400"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按键</w:t>
            </w:r>
          </w:p>
        </w:tc>
        <w:tc>
          <w:tcPr>
            <w:tcW w:w="6539"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电源键（锁屏键）音量加/减键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2400"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指示灯</w:t>
            </w:r>
          </w:p>
        </w:tc>
        <w:tc>
          <w:tcPr>
            <w:tcW w:w="6539"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支持红、黄、蓝三色LED指示灯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2400"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喇叭</w:t>
            </w:r>
          </w:p>
        </w:tc>
        <w:tc>
          <w:tcPr>
            <w:tcW w:w="6539"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1x 2W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2400"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电源适配器</w:t>
            </w:r>
          </w:p>
        </w:tc>
        <w:tc>
          <w:tcPr>
            <w:tcW w:w="6539"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外置DC 12V/3A</w:t>
            </w:r>
          </w:p>
        </w:tc>
      </w:tr>
    </w:tbl>
    <w:p>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四.项目实施要求</w:t>
      </w:r>
    </w:p>
    <w:p>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1投标方项目管理要求</w:t>
      </w:r>
    </w:p>
    <w:p>
      <w:pPr>
        <w:keepNext w:val="0"/>
        <w:keepLines w:val="0"/>
        <w:pageBreakBefore w:val="0"/>
        <w:widowControl w:val="0"/>
        <w:kinsoku/>
        <w:wordWrap/>
        <w:overflowPunct/>
        <w:topLinePunct w:val="0"/>
        <w:autoSpaceDE/>
        <w:autoSpaceDN/>
        <w:bidi w:val="0"/>
        <w:adjustRightInd/>
        <w:snapToGrid w:val="0"/>
        <w:spacing w:line="312" w:lineRule="auto"/>
        <w:ind w:firstLine="472"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为保证本项目顺利实施，投标方需提供本次采购的项目管理实施方案，投标方投入的技术人员要做好角色分工、项目实施计划、项目变更管理方案以及项目风险管理等。投标方应承诺提供现场实施服务，办公场地由投标方自行解决。</w:t>
      </w:r>
    </w:p>
    <w:p>
      <w:pPr>
        <w:keepNext w:val="0"/>
        <w:keepLines w:val="0"/>
        <w:pageBreakBefore w:val="0"/>
        <w:widowControl w:val="0"/>
        <w:kinsoku/>
        <w:wordWrap/>
        <w:overflowPunct/>
        <w:topLinePunct w:val="0"/>
        <w:autoSpaceDE/>
        <w:autoSpaceDN/>
        <w:bidi w:val="0"/>
        <w:adjustRightInd/>
        <w:snapToGrid w:val="0"/>
        <w:spacing w:line="312" w:lineRule="auto"/>
        <w:ind w:firstLine="472"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投标方应携手所投核心系统软件生产厂家在规定时间内完成系统软件安装、调试，提供详细的安装实施方案，包括施工人员、技术支持、工期进度安排、组织管理培训。</w:t>
      </w:r>
    </w:p>
    <w:p>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2.质量管理要求</w:t>
      </w:r>
    </w:p>
    <w:p>
      <w:pPr>
        <w:keepNext w:val="0"/>
        <w:keepLines w:val="0"/>
        <w:pageBreakBefore w:val="0"/>
        <w:widowControl w:val="0"/>
        <w:kinsoku/>
        <w:wordWrap/>
        <w:overflowPunct/>
        <w:topLinePunct w:val="0"/>
        <w:autoSpaceDE/>
        <w:autoSpaceDN/>
        <w:bidi w:val="0"/>
        <w:adjustRightInd/>
        <w:snapToGrid w:val="0"/>
        <w:spacing w:line="312" w:lineRule="auto"/>
        <w:ind w:firstLine="472"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投标方需有完善的质量管理，针对招标项目实施过程及交付结果进行质量规划、管理、控制。</w:t>
      </w:r>
    </w:p>
    <w:p>
      <w:pPr>
        <w:keepNext w:val="0"/>
        <w:keepLines w:val="0"/>
        <w:pageBreakBefore w:val="0"/>
        <w:widowControl w:val="0"/>
        <w:kinsoku/>
        <w:wordWrap/>
        <w:overflowPunct/>
        <w:topLinePunct w:val="0"/>
        <w:autoSpaceDE/>
        <w:autoSpaceDN/>
        <w:bidi w:val="0"/>
        <w:adjustRightInd/>
        <w:snapToGrid w:val="0"/>
        <w:spacing w:line="312" w:lineRule="auto"/>
        <w:ind w:firstLine="472"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投标方需能提供项目准备、需求分析、设计、实施、上线、交付各阶段及项目管理等有关文档。</w:t>
      </w:r>
    </w:p>
    <w:p>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3.风险控制要求</w:t>
      </w:r>
    </w:p>
    <w:p>
      <w:pPr>
        <w:keepNext w:val="0"/>
        <w:keepLines w:val="0"/>
        <w:pageBreakBefore w:val="0"/>
        <w:widowControl w:val="0"/>
        <w:kinsoku/>
        <w:wordWrap/>
        <w:overflowPunct/>
        <w:topLinePunct w:val="0"/>
        <w:autoSpaceDE/>
        <w:autoSpaceDN/>
        <w:bidi w:val="0"/>
        <w:adjustRightInd/>
        <w:snapToGrid w:val="0"/>
        <w:spacing w:line="312" w:lineRule="auto"/>
        <w:ind w:firstLine="472"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投标方要能在充分理解本项目的基础上，对可能出现的各类风险进行评估和制定应对措施，以保证本项目的顺利上线。</w:t>
      </w:r>
    </w:p>
    <w:p>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5.项目培训要求</w:t>
      </w:r>
    </w:p>
    <w:p>
      <w:pPr>
        <w:keepNext w:val="0"/>
        <w:keepLines w:val="0"/>
        <w:pageBreakBefore w:val="0"/>
        <w:widowControl w:val="0"/>
        <w:kinsoku/>
        <w:wordWrap/>
        <w:overflowPunct/>
        <w:topLinePunct w:val="0"/>
        <w:autoSpaceDE/>
        <w:autoSpaceDN/>
        <w:bidi w:val="0"/>
        <w:adjustRightInd/>
        <w:snapToGrid w:val="0"/>
        <w:spacing w:line="312" w:lineRule="auto"/>
        <w:ind w:firstLine="472"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投标方应携手濉溪县医院信息系统承建厂家必须向招标方及相关项目干系人提供免费培训，建立完善的培训体系与方案，培训形式包括现场培训和视频培训，集中培训不少于两次。</w:t>
      </w:r>
    </w:p>
    <w:p>
      <w:pPr>
        <w:keepNext w:val="0"/>
        <w:keepLines w:val="0"/>
        <w:pageBreakBefore w:val="0"/>
        <w:widowControl w:val="0"/>
        <w:kinsoku/>
        <w:wordWrap/>
        <w:overflowPunct/>
        <w:topLinePunct w:val="0"/>
        <w:autoSpaceDE/>
        <w:autoSpaceDN/>
        <w:bidi w:val="0"/>
        <w:adjustRightInd/>
        <w:snapToGrid w:val="0"/>
        <w:spacing w:line="312" w:lineRule="auto"/>
        <w:ind w:firstLine="472"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投标方须针对不同的培训对象，在响应文件中提出全面、详细的培训计划，包括但不限于培训内容、培训时间、培训计划、培训地点、授课老师等详细内容。</w:t>
      </w:r>
    </w:p>
    <w:p>
      <w:pPr>
        <w:keepNext w:val="0"/>
        <w:keepLines w:val="0"/>
        <w:pageBreakBefore w:val="0"/>
        <w:widowControl w:val="0"/>
        <w:kinsoku/>
        <w:wordWrap/>
        <w:overflowPunct/>
        <w:topLinePunct w:val="0"/>
        <w:autoSpaceDE/>
        <w:autoSpaceDN/>
        <w:bidi w:val="0"/>
        <w:adjustRightInd/>
        <w:snapToGrid w:val="0"/>
        <w:spacing w:line="312" w:lineRule="auto"/>
        <w:ind w:firstLine="472"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投标方派出的培训教员应具备丰富的相同课程教学经验，所有的培训教员必须中文授课，投标方必须为所有被培训人员提供培训用文字资料和讲义等相关用品。</w:t>
      </w:r>
    </w:p>
    <w:p>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投标方应按招标方要求合理地安排培训时间。</w:t>
      </w:r>
    </w:p>
    <w:p>
      <w:pPr>
        <w:keepNext w:val="0"/>
        <w:keepLines w:val="0"/>
        <w:pageBreakBefore w:val="0"/>
        <w:widowControl w:val="0"/>
        <w:kinsoku/>
        <w:wordWrap/>
        <w:overflowPunct/>
        <w:topLinePunct w:val="0"/>
        <w:autoSpaceDE/>
        <w:autoSpaceDN/>
        <w:bidi w:val="0"/>
        <w:adjustRightInd/>
        <w:snapToGrid w:val="0"/>
        <w:spacing w:line="312" w:lineRule="auto"/>
        <w:ind w:firstLine="472"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投标方对招标方相关人员进行必要技术和操作培训，以满足设备采购安装后，系统正常运行、维护和技术支持的需要。</w:t>
      </w:r>
    </w:p>
    <w:p>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5.1.系统使用人员的培训。系统使用人员不仅要对相关的技术有深入的研究，还要对项目运行涉及的具体业务有充分的理解。</w:t>
      </w:r>
    </w:p>
    <w:p>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5.2.系统运行维护人员的培训。运维人员培训主要包括以下几个方面：软件系统的安装、日常操作和管理维护以及基本的故障诊断与排除、安全事件应急处置培训等。通过培训使项目运维队伍能够充分掌握业务运营技术和维护经验，从技术上和管理上保证信息系统能正常运行。</w:t>
      </w:r>
    </w:p>
    <w:p>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6.售后服务要求</w:t>
      </w:r>
    </w:p>
    <w:p>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在设备维保期内，投标方应提供灵活、多样的通信手段（包括但不限于场地、设备及人员、专用服务电话），提供7×24小时的响应服务，保证在任何时候招标方人员都能及时找到投标方的服务人员。如遇现场人员无法解决的问题或招标方认为需要，投标方的技术人员应在12小时内赶到现场支持。</w:t>
      </w:r>
    </w:p>
    <w:p>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2.所供设备出现问题时，其响应时间不超过30分钟，一般故障处理时间不大于2小时；特殊情况下，故障修复时间不大于24小时。</w:t>
      </w:r>
    </w:p>
    <w:p>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3.投标方应提供排除故障响应的具体流程。</w:t>
      </w:r>
    </w:p>
    <w:p>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本项目需投标方提供本地化服务，处理所有售后服务，同时提供7×24小时本地语言（中文）支持。在系统运行期间，当系统出现故障时其响应时间不超过30分钟，一般故障处理时间不大于2小时；特殊情况下，故障修复时间不大于24小时。</w:t>
      </w:r>
    </w:p>
    <w:p>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5.在本项目存续期提供永久的技术支持。</w:t>
      </w:r>
    </w:p>
    <w:p>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6.项目测试及验收标准与要求</w:t>
      </w:r>
    </w:p>
    <w:p>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7.1设备测试要求</w:t>
      </w:r>
    </w:p>
    <w:p>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在两定医药机构相关信息系统中，完成设备的安装、对接、调试，确保两定医药机构各项业务达到正常看病就医、刷卡就医、结算等。</w:t>
      </w:r>
    </w:p>
    <w:p>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default" w:ascii="宋体" w:hAnsi="宋体" w:eastAsia="宋体" w:cs="宋体"/>
          <w:b/>
          <w:bCs/>
          <w:sz w:val="24"/>
          <w:szCs w:val="24"/>
          <w:lang w:val="en-US"/>
        </w:rPr>
      </w:pPr>
      <w:r>
        <w:rPr>
          <w:rFonts w:hint="eastAsia" w:ascii="宋体" w:hAnsi="宋体" w:eastAsia="宋体" w:cs="宋体"/>
          <w:b/>
          <w:bCs/>
          <w:sz w:val="24"/>
          <w:szCs w:val="24"/>
          <w:lang w:val="en-US" w:eastAsia="zh-CN"/>
        </w:rPr>
        <w:t>五、评分办法</w:t>
      </w:r>
    </w:p>
    <w:tbl>
      <w:tblPr>
        <w:tblStyle w:val="7"/>
        <w:tblW w:w="9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204"/>
        <w:gridCol w:w="1275"/>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79" w:type="dxa"/>
          </w:tcPr>
          <w:p>
            <w:pPr>
              <w:adjustRightInd w:val="0"/>
              <w:snapToGrid w:val="0"/>
              <w:spacing w:line="460" w:lineRule="exact"/>
              <w:jc w:val="center"/>
              <w:rPr>
                <w:rFonts w:ascii="宋体" w:hAnsi="宋体" w:eastAsia="宋体" w:cs="宋体"/>
                <w:b/>
                <w:sz w:val="21"/>
                <w:szCs w:val="20"/>
              </w:rPr>
            </w:pPr>
            <w:r>
              <w:rPr>
                <w:rFonts w:hint="eastAsia" w:ascii="宋体" w:hAnsi="宋体" w:eastAsia="宋体" w:cs="宋体"/>
                <w:b/>
                <w:sz w:val="21"/>
                <w:szCs w:val="20"/>
              </w:rPr>
              <w:t>序号</w:t>
            </w:r>
          </w:p>
        </w:tc>
        <w:tc>
          <w:tcPr>
            <w:tcW w:w="1204" w:type="dxa"/>
          </w:tcPr>
          <w:p>
            <w:pPr>
              <w:adjustRightInd w:val="0"/>
              <w:snapToGrid w:val="0"/>
              <w:spacing w:line="460" w:lineRule="exact"/>
              <w:jc w:val="center"/>
              <w:rPr>
                <w:rFonts w:ascii="宋体" w:hAnsi="宋体" w:eastAsia="宋体" w:cs="宋体"/>
                <w:b/>
                <w:sz w:val="21"/>
                <w:szCs w:val="20"/>
              </w:rPr>
            </w:pPr>
            <w:r>
              <w:rPr>
                <w:rFonts w:hint="eastAsia" w:ascii="宋体" w:hAnsi="宋体" w:eastAsia="宋体" w:cs="宋体"/>
                <w:b/>
                <w:sz w:val="21"/>
                <w:szCs w:val="20"/>
              </w:rPr>
              <w:t>分值构成</w:t>
            </w:r>
          </w:p>
        </w:tc>
        <w:tc>
          <w:tcPr>
            <w:tcW w:w="1275" w:type="dxa"/>
          </w:tcPr>
          <w:p>
            <w:pPr>
              <w:adjustRightInd w:val="0"/>
              <w:snapToGrid w:val="0"/>
              <w:spacing w:line="460" w:lineRule="exact"/>
              <w:jc w:val="center"/>
              <w:rPr>
                <w:rFonts w:ascii="宋体" w:hAnsi="宋体" w:eastAsia="宋体" w:cs="宋体"/>
                <w:b/>
                <w:sz w:val="21"/>
                <w:szCs w:val="20"/>
              </w:rPr>
            </w:pPr>
            <w:r>
              <w:rPr>
                <w:rFonts w:hint="eastAsia" w:ascii="宋体" w:hAnsi="宋体" w:eastAsia="宋体" w:cs="宋体"/>
                <w:b/>
                <w:sz w:val="21"/>
                <w:szCs w:val="20"/>
              </w:rPr>
              <w:t>评审因素</w:t>
            </w:r>
          </w:p>
        </w:tc>
        <w:tc>
          <w:tcPr>
            <w:tcW w:w="6379" w:type="dxa"/>
          </w:tcPr>
          <w:p>
            <w:pPr>
              <w:adjustRightInd w:val="0"/>
              <w:snapToGrid w:val="0"/>
              <w:spacing w:line="460" w:lineRule="exact"/>
              <w:jc w:val="center"/>
              <w:rPr>
                <w:rFonts w:ascii="宋体" w:hAnsi="宋体" w:eastAsia="宋体" w:cs="宋体"/>
                <w:b/>
                <w:sz w:val="21"/>
                <w:szCs w:val="20"/>
              </w:rPr>
            </w:pPr>
            <w:r>
              <w:rPr>
                <w:rFonts w:hint="eastAsia" w:ascii="宋体" w:hAnsi="宋体" w:eastAsia="宋体" w:cs="宋体"/>
                <w:b/>
                <w:sz w:val="21"/>
                <w:szCs w:val="20"/>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jc w:val="center"/>
        </w:trPr>
        <w:tc>
          <w:tcPr>
            <w:tcW w:w="679" w:type="dxa"/>
            <w:vAlign w:val="center"/>
          </w:tcPr>
          <w:p>
            <w:pPr>
              <w:adjustRightInd w:val="0"/>
              <w:snapToGrid w:val="0"/>
              <w:spacing w:line="460" w:lineRule="exact"/>
              <w:jc w:val="center"/>
              <w:rPr>
                <w:rFonts w:ascii="宋体" w:hAnsi="宋体" w:eastAsia="宋体" w:cs="宋体"/>
                <w:sz w:val="21"/>
                <w:szCs w:val="20"/>
              </w:rPr>
            </w:pPr>
            <w:r>
              <w:rPr>
                <w:rFonts w:hint="eastAsia" w:ascii="宋体" w:hAnsi="宋体" w:eastAsia="宋体" w:cs="宋体"/>
                <w:sz w:val="21"/>
                <w:szCs w:val="20"/>
              </w:rPr>
              <w:t>一</w:t>
            </w:r>
          </w:p>
        </w:tc>
        <w:tc>
          <w:tcPr>
            <w:tcW w:w="1204" w:type="dxa"/>
            <w:vAlign w:val="center"/>
          </w:tcPr>
          <w:p>
            <w:pPr>
              <w:spacing w:line="460" w:lineRule="exact"/>
              <w:ind w:right="-31" w:rightChars="-10"/>
              <w:jc w:val="center"/>
              <w:rPr>
                <w:rFonts w:ascii="宋体" w:hAnsi="宋体" w:eastAsia="宋体" w:cs="宋体"/>
                <w:sz w:val="21"/>
                <w:szCs w:val="20"/>
              </w:rPr>
            </w:pPr>
            <w:r>
              <w:rPr>
                <w:rFonts w:hint="eastAsia" w:ascii="宋体" w:hAnsi="宋体" w:eastAsia="宋体" w:cs="宋体"/>
                <w:sz w:val="21"/>
                <w:szCs w:val="20"/>
              </w:rPr>
              <w:t>投标报价（</w:t>
            </w:r>
            <w:r>
              <w:rPr>
                <w:rFonts w:ascii="宋体" w:hAnsi="宋体" w:eastAsia="宋体" w:cs="宋体"/>
                <w:sz w:val="21"/>
                <w:szCs w:val="20"/>
              </w:rPr>
              <w:t>30</w:t>
            </w:r>
            <w:r>
              <w:rPr>
                <w:rFonts w:hint="eastAsia" w:ascii="宋体" w:hAnsi="宋体" w:eastAsia="宋体" w:cs="宋体"/>
                <w:sz w:val="21"/>
                <w:szCs w:val="20"/>
              </w:rPr>
              <w:t>分）</w:t>
            </w:r>
          </w:p>
        </w:tc>
        <w:tc>
          <w:tcPr>
            <w:tcW w:w="1275" w:type="dxa"/>
            <w:vAlign w:val="center"/>
          </w:tcPr>
          <w:p>
            <w:pPr>
              <w:spacing w:line="400" w:lineRule="exact"/>
              <w:jc w:val="center"/>
              <w:rPr>
                <w:rFonts w:ascii="宋体" w:hAnsi="宋体" w:eastAsia="宋体" w:cs="宋体"/>
                <w:sz w:val="21"/>
                <w:szCs w:val="20"/>
              </w:rPr>
            </w:pPr>
            <w:r>
              <w:rPr>
                <w:rFonts w:hint="eastAsia" w:ascii="宋体" w:hAnsi="宋体" w:eastAsia="宋体" w:cs="宋体"/>
                <w:sz w:val="21"/>
                <w:szCs w:val="20"/>
              </w:rPr>
              <w:t>投标报价</w:t>
            </w:r>
          </w:p>
          <w:p>
            <w:pPr>
              <w:spacing w:line="400" w:lineRule="exact"/>
              <w:jc w:val="center"/>
              <w:rPr>
                <w:rFonts w:ascii="宋体" w:hAnsi="宋体" w:eastAsia="宋体" w:cs="宋体"/>
                <w:sz w:val="21"/>
                <w:szCs w:val="20"/>
                <w:lang w:eastAsia="zh-Hans"/>
              </w:rPr>
            </w:pPr>
            <w:r>
              <w:rPr>
                <w:rFonts w:hint="eastAsia" w:ascii="宋体" w:hAnsi="宋体" w:eastAsia="宋体" w:cs="宋体"/>
                <w:sz w:val="21"/>
                <w:szCs w:val="20"/>
              </w:rPr>
              <w:t>（</w:t>
            </w:r>
            <w:r>
              <w:rPr>
                <w:rFonts w:ascii="宋体" w:hAnsi="宋体" w:eastAsia="宋体" w:cs="宋体"/>
                <w:sz w:val="21"/>
                <w:szCs w:val="20"/>
              </w:rPr>
              <w:t>30</w:t>
            </w:r>
            <w:r>
              <w:rPr>
                <w:rFonts w:hint="eastAsia" w:ascii="宋体" w:hAnsi="宋体" w:eastAsia="宋体" w:cs="宋体"/>
                <w:sz w:val="21"/>
                <w:szCs w:val="20"/>
              </w:rPr>
              <w:t>分）</w:t>
            </w:r>
          </w:p>
        </w:tc>
        <w:tc>
          <w:tcPr>
            <w:tcW w:w="6379" w:type="dxa"/>
            <w:vAlign w:val="center"/>
          </w:tcPr>
          <w:p>
            <w:pPr>
              <w:spacing w:line="400" w:lineRule="exact"/>
              <w:rPr>
                <w:rFonts w:ascii="宋体" w:hAnsi="宋体" w:eastAsia="宋体" w:cs="宋体"/>
                <w:sz w:val="21"/>
                <w:szCs w:val="20"/>
              </w:rPr>
            </w:pPr>
            <w:r>
              <w:rPr>
                <w:rFonts w:hint="eastAsia" w:ascii="宋体" w:hAnsi="宋体" w:eastAsia="宋体" w:cs="宋体"/>
                <w:sz w:val="21"/>
                <w:szCs w:val="20"/>
                <w:lang w:eastAsia="zh-Hans"/>
              </w:rPr>
              <w:t>以满足招标文件要求且投标价格平均价的投标报价为评标基准价，其价格分为满分</w:t>
            </w:r>
            <w:r>
              <w:rPr>
                <w:rFonts w:ascii="宋体" w:hAnsi="宋体" w:eastAsia="宋体" w:cs="宋体"/>
                <w:sz w:val="21"/>
                <w:szCs w:val="20"/>
              </w:rPr>
              <w:t>30</w:t>
            </w:r>
            <w:r>
              <w:rPr>
                <w:rFonts w:hint="eastAsia" w:ascii="宋体" w:hAnsi="宋体" w:eastAsia="宋体" w:cs="宋体"/>
                <w:sz w:val="21"/>
                <w:szCs w:val="20"/>
                <w:lang w:eastAsia="zh-Hans"/>
              </w:rPr>
              <w:t>分，</w:t>
            </w:r>
            <w:r>
              <w:rPr>
                <w:rFonts w:hint="eastAsia" w:ascii="宋体" w:hAnsi="宋体" w:eastAsia="宋体" w:cs="宋体"/>
                <w:sz w:val="21"/>
                <w:szCs w:val="20"/>
                <w:lang w:val="en-US" w:eastAsia="zh-CN"/>
              </w:rPr>
              <w:t>为保证产品质量价格分最多不得相差5分，</w:t>
            </w:r>
            <w:r>
              <w:rPr>
                <w:rFonts w:hint="eastAsia" w:ascii="宋体" w:hAnsi="宋体" w:eastAsia="宋体" w:cs="宋体"/>
                <w:sz w:val="21"/>
                <w:szCs w:val="20"/>
                <w:lang w:eastAsia="zh-Hans"/>
              </w:rPr>
              <w:t>其他投标人的价格分按照下列公式计算：投标报价得分=（评标基准价/投标报价）×</w:t>
            </w:r>
            <w:r>
              <w:rPr>
                <w:rFonts w:ascii="宋体" w:hAnsi="宋体" w:eastAsia="宋体" w:cs="宋体"/>
                <w:sz w:val="21"/>
                <w:szCs w:val="20"/>
              </w:rPr>
              <w:t>30</w:t>
            </w:r>
            <w:r>
              <w:rPr>
                <w:rFonts w:hint="eastAsia" w:ascii="宋体" w:hAnsi="宋体" w:eastAsia="宋体" w:cs="宋体"/>
                <w:sz w:val="21"/>
                <w:szCs w:val="20"/>
                <w:lang w:eastAsia="zh-Han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679" w:type="dxa"/>
            <w:vMerge w:val="restart"/>
            <w:vAlign w:val="center"/>
          </w:tcPr>
          <w:p>
            <w:pPr>
              <w:adjustRightInd w:val="0"/>
              <w:snapToGrid w:val="0"/>
              <w:spacing w:line="460" w:lineRule="exact"/>
              <w:jc w:val="center"/>
              <w:rPr>
                <w:rFonts w:ascii="宋体" w:hAnsi="宋体" w:eastAsia="宋体" w:cs="宋体"/>
                <w:sz w:val="21"/>
                <w:szCs w:val="20"/>
              </w:rPr>
            </w:pPr>
            <w:r>
              <w:rPr>
                <w:rFonts w:hint="eastAsia" w:ascii="宋体" w:hAnsi="宋体" w:eastAsia="宋体" w:cs="宋体"/>
                <w:sz w:val="21"/>
                <w:szCs w:val="20"/>
              </w:rPr>
              <w:t>二</w:t>
            </w:r>
          </w:p>
        </w:tc>
        <w:tc>
          <w:tcPr>
            <w:tcW w:w="1204" w:type="dxa"/>
            <w:vMerge w:val="restart"/>
            <w:vAlign w:val="center"/>
          </w:tcPr>
          <w:p>
            <w:pPr>
              <w:spacing w:line="460" w:lineRule="exact"/>
              <w:ind w:right="-31" w:rightChars="-10"/>
              <w:jc w:val="center"/>
              <w:rPr>
                <w:rFonts w:ascii="宋体" w:hAnsi="宋体" w:eastAsia="宋体" w:cs="宋体"/>
                <w:bCs/>
                <w:sz w:val="21"/>
                <w:szCs w:val="20"/>
              </w:rPr>
            </w:pPr>
            <w:r>
              <w:rPr>
                <w:rFonts w:hint="eastAsia" w:ascii="Times New Roman" w:hAnsi="Times New Roman" w:eastAsia="宋体" w:cs="Times New Roman"/>
                <w:sz w:val="21"/>
                <w:szCs w:val="20"/>
                <w:lang w:bidi="ar"/>
              </w:rPr>
              <w:t>技术水平及综合实力</w:t>
            </w:r>
            <w:r>
              <w:rPr>
                <w:rFonts w:hint="eastAsia" w:ascii="宋体" w:hAnsi="宋体" w:eastAsia="宋体" w:cs="宋体"/>
                <w:sz w:val="21"/>
                <w:szCs w:val="20"/>
              </w:rPr>
              <w:t>（</w:t>
            </w:r>
            <w:r>
              <w:rPr>
                <w:rFonts w:hint="eastAsia" w:ascii="宋体" w:hAnsi="宋体" w:eastAsia="宋体" w:cs="宋体"/>
                <w:sz w:val="21"/>
                <w:szCs w:val="20"/>
                <w:lang w:val="en-US" w:eastAsia="zh-CN"/>
              </w:rPr>
              <w:t>7</w:t>
            </w:r>
            <w:r>
              <w:rPr>
                <w:rFonts w:hint="eastAsia" w:ascii="宋体" w:hAnsi="宋体" w:eastAsia="宋体" w:cs="宋体"/>
                <w:sz w:val="21"/>
                <w:szCs w:val="20"/>
              </w:rPr>
              <w:t>0分）</w:t>
            </w:r>
          </w:p>
        </w:tc>
        <w:tc>
          <w:tcPr>
            <w:tcW w:w="1275" w:type="dxa"/>
            <w:vAlign w:val="center"/>
          </w:tcPr>
          <w:p>
            <w:pPr>
              <w:spacing w:line="400" w:lineRule="exact"/>
              <w:jc w:val="center"/>
              <w:rPr>
                <w:rFonts w:ascii="宋体" w:hAnsi="宋体" w:eastAsia="宋体" w:cs="宋体"/>
                <w:sz w:val="21"/>
                <w:szCs w:val="20"/>
              </w:rPr>
            </w:pPr>
            <w:r>
              <w:rPr>
                <w:rFonts w:hint="eastAsia" w:ascii="宋体" w:hAnsi="宋体" w:eastAsia="宋体" w:cs="宋体"/>
                <w:sz w:val="21"/>
                <w:szCs w:val="20"/>
                <w:lang w:eastAsia="zh-Hans"/>
              </w:rPr>
              <w:t>技术参数</w:t>
            </w:r>
          </w:p>
          <w:p>
            <w:pPr>
              <w:spacing w:line="400" w:lineRule="exact"/>
              <w:jc w:val="center"/>
              <w:rPr>
                <w:rFonts w:ascii="宋体" w:hAnsi="宋体" w:eastAsia="宋体" w:cs="宋体"/>
                <w:sz w:val="21"/>
                <w:szCs w:val="20"/>
              </w:rPr>
            </w:pPr>
            <w:r>
              <w:rPr>
                <w:rFonts w:hint="eastAsia" w:ascii="宋体" w:hAnsi="宋体" w:eastAsia="宋体" w:cs="宋体"/>
                <w:sz w:val="21"/>
                <w:szCs w:val="20"/>
              </w:rPr>
              <w:t>（</w:t>
            </w:r>
            <w:r>
              <w:rPr>
                <w:rFonts w:ascii="宋体" w:hAnsi="宋体" w:eastAsia="宋体" w:cs="宋体"/>
                <w:sz w:val="21"/>
                <w:szCs w:val="20"/>
              </w:rPr>
              <w:t>2</w:t>
            </w:r>
            <w:r>
              <w:rPr>
                <w:rFonts w:hint="eastAsia" w:ascii="宋体" w:hAnsi="宋体" w:eastAsia="宋体" w:cs="宋体"/>
                <w:sz w:val="21"/>
                <w:szCs w:val="20"/>
              </w:rPr>
              <w:t>0分）</w:t>
            </w:r>
          </w:p>
        </w:tc>
        <w:tc>
          <w:tcPr>
            <w:tcW w:w="6379" w:type="dxa"/>
            <w:vAlign w:val="center"/>
          </w:tcPr>
          <w:p>
            <w:pPr>
              <w:widowControl w:val="0"/>
              <w:spacing w:line="400" w:lineRule="exact"/>
              <w:ind w:firstLine="0" w:firstLineChars="0"/>
              <w:jc w:val="both"/>
              <w:rPr>
                <w:rFonts w:ascii="宋体" w:hAnsi="宋体" w:eastAsia="宋体" w:cs="宋体"/>
                <w:kern w:val="2"/>
                <w:sz w:val="21"/>
                <w:szCs w:val="20"/>
                <w:lang w:val="en-US" w:eastAsia="zh-CN" w:bidi="ar-SA"/>
              </w:rPr>
            </w:pPr>
            <w:r>
              <w:rPr>
                <w:rFonts w:hint="eastAsia" w:ascii="宋体" w:hAnsi="宋体" w:eastAsia="宋体" w:cs="宋体"/>
                <w:kern w:val="2"/>
                <w:sz w:val="21"/>
                <w:szCs w:val="20"/>
                <w:lang w:val="zh-CN" w:eastAsia="zh-Hans" w:bidi="ar-SA"/>
              </w:rPr>
              <w:t>投标产品技术参数和配置完全满足或高于招标文件要求的，得</w:t>
            </w:r>
            <w:r>
              <w:rPr>
                <w:rFonts w:ascii="宋体" w:hAnsi="宋体" w:eastAsia="宋体" w:cs="宋体"/>
                <w:kern w:val="2"/>
                <w:sz w:val="21"/>
                <w:szCs w:val="20"/>
                <w:lang w:val="en-US" w:eastAsia="zh-CN" w:bidi="ar-SA"/>
              </w:rPr>
              <w:t>2</w:t>
            </w:r>
            <w:r>
              <w:rPr>
                <w:rFonts w:hint="eastAsia" w:ascii="宋体" w:hAnsi="宋体" w:eastAsia="宋体" w:cs="宋体"/>
                <w:kern w:val="2"/>
                <w:sz w:val="21"/>
                <w:szCs w:val="20"/>
                <w:lang w:val="en-US" w:eastAsia="zh-CN" w:bidi="ar-SA"/>
              </w:rPr>
              <w:t>0</w:t>
            </w:r>
            <w:r>
              <w:rPr>
                <w:rFonts w:hint="eastAsia" w:ascii="宋体" w:hAnsi="宋体" w:eastAsia="宋体" w:cs="宋体"/>
                <w:kern w:val="2"/>
                <w:sz w:val="21"/>
                <w:szCs w:val="20"/>
                <w:lang w:val="zh-CN" w:eastAsia="zh-Hans" w:bidi="ar-SA"/>
              </w:rPr>
              <w:t>分</w:t>
            </w:r>
            <w:r>
              <w:rPr>
                <w:rFonts w:hint="eastAsia" w:ascii="宋体" w:hAnsi="宋体" w:eastAsia="宋体" w:cs="宋体"/>
                <w:kern w:val="2"/>
                <w:sz w:val="21"/>
                <w:szCs w:val="20"/>
                <w:lang w:val="en-US" w:eastAsia="zh-CN" w:bidi="ar-SA"/>
              </w:rPr>
              <w:t>；每有一项负偏离扣</w:t>
            </w:r>
            <w:r>
              <w:rPr>
                <w:rFonts w:ascii="宋体" w:hAnsi="宋体" w:eastAsia="宋体" w:cs="宋体"/>
                <w:kern w:val="2"/>
                <w:sz w:val="21"/>
                <w:szCs w:val="20"/>
                <w:lang w:val="en-US" w:eastAsia="zh-CN" w:bidi="ar-SA"/>
              </w:rPr>
              <w:t>2</w:t>
            </w:r>
            <w:r>
              <w:rPr>
                <w:rFonts w:hint="eastAsia" w:ascii="宋体" w:hAnsi="宋体" w:eastAsia="宋体" w:cs="宋体"/>
                <w:kern w:val="2"/>
                <w:sz w:val="21"/>
                <w:szCs w:val="20"/>
                <w:lang w:val="en-US" w:eastAsia="zh-CN" w:bidi="ar-SA"/>
              </w:rPr>
              <w:t>分；</w:t>
            </w:r>
            <w:r>
              <w:rPr>
                <w:rFonts w:hint="eastAsia" w:ascii="宋体" w:hAnsi="宋体" w:eastAsia="宋体" w:cs="宋体"/>
                <w:kern w:val="2"/>
                <w:sz w:val="21"/>
                <w:szCs w:val="20"/>
                <w:lang w:val="en-US" w:eastAsia="zh-Hans" w:bidi="ar-SA"/>
              </w:rPr>
              <w:t>扣完为止</w:t>
            </w:r>
            <w:r>
              <w:rPr>
                <w:rFonts w:hint="eastAsia" w:ascii="宋体" w:hAnsi="宋体" w:eastAsia="宋体" w:cs="宋体"/>
                <w:kern w:val="2"/>
                <w:sz w:val="21"/>
                <w:szCs w:val="20"/>
                <w:lang w:val="zh-CN" w:eastAsia="zh-Hans"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679" w:type="dxa"/>
            <w:vMerge w:val="continue"/>
            <w:vAlign w:val="center"/>
          </w:tcPr>
          <w:p>
            <w:pPr>
              <w:adjustRightInd w:val="0"/>
              <w:snapToGrid w:val="0"/>
              <w:spacing w:line="460" w:lineRule="exact"/>
              <w:jc w:val="center"/>
              <w:rPr>
                <w:rFonts w:ascii="宋体" w:hAnsi="宋体" w:eastAsia="宋体" w:cs="宋体"/>
                <w:sz w:val="21"/>
                <w:szCs w:val="20"/>
              </w:rPr>
            </w:pPr>
          </w:p>
        </w:tc>
        <w:tc>
          <w:tcPr>
            <w:tcW w:w="1204" w:type="dxa"/>
            <w:vMerge w:val="continue"/>
            <w:vAlign w:val="center"/>
          </w:tcPr>
          <w:p>
            <w:pPr>
              <w:spacing w:line="460" w:lineRule="exact"/>
              <w:ind w:right="-31" w:rightChars="-10"/>
              <w:jc w:val="center"/>
              <w:rPr>
                <w:rFonts w:ascii="Times New Roman" w:hAnsi="Times New Roman" w:eastAsia="宋体" w:cs="Times New Roman"/>
                <w:sz w:val="21"/>
                <w:szCs w:val="20"/>
                <w:lang w:bidi="ar"/>
              </w:rPr>
            </w:pPr>
          </w:p>
        </w:tc>
        <w:tc>
          <w:tcPr>
            <w:tcW w:w="1275" w:type="dxa"/>
            <w:vAlign w:val="center"/>
          </w:tcPr>
          <w:p>
            <w:pPr>
              <w:spacing w:line="400" w:lineRule="exact"/>
              <w:jc w:val="center"/>
              <w:rPr>
                <w:rFonts w:ascii="宋体" w:hAnsi="宋体" w:eastAsia="宋体" w:cs="宋体"/>
                <w:sz w:val="21"/>
                <w:szCs w:val="20"/>
              </w:rPr>
            </w:pPr>
            <w:r>
              <w:rPr>
                <w:rFonts w:hint="eastAsia" w:ascii="宋体" w:hAnsi="宋体" w:eastAsia="宋体" w:cs="宋体"/>
                <w:sz w:val="21"/>
                <w:szCs w:val="20"/>
              </w:rPr>
              <w:t>投标产品</w:t>
            </w:r>
          </w:p>
          <w:p>
            <w:pPr>
              <w:spacing w:line="400" w:lineRule="exact"/>
              <w:jc w:val="center"/>
              <w:rPr>
                <w:rFonts w:ascii="宋体" w:hAnsi="宋体" w:eastAsia="宋体" w:cs="宋体"/>
                <w:sz w:val="21"/>
                <w:szCs w:val="20"/>
              </w:rPr>
            </w:pPr>
            <w:r>
              <w:rPr>
                <w:rFonts w:hint="eastAsia" w:ascii="宋体" w:hAnsi="宋体" w:eastAsia="宋体" w:cs="宋体"/>
                <w:sz w:val="21"/>
                <w:szCs w:val="20"/>
              </w:rPr>
              <w:t>（</w:t>
            </w:r>
            <w:r>
              <w:rPr>
                <w:rFonts w:hint="eastAsia" w:ascii="宋体" w:hAnsi="宋体" w:eastAsia="宋体" w:cs="宋体"/>
                <w:sz w:val="21"/>
                <w:szCs w:val="20"/>
                <w:lang w:val="en-US" w:eastAsia="zh-CN"/>
              </w:rPr>
              <w:t>30</w:t>
            </w:r>
            <w:r>
              <w:rPr>
                <w:rFonts w:hint="eastAsia" w:ascii="宋体" w:hAnsi="宋体" w:eastAsia="宋体" w:cs="宋体"/>
                <w:sz w:val="21"/>
                <w:szCs w:val="20"/>
              </w:rPr>
              <w:t>分）</w:t>
            </w:r>
          </w:p>
        </w:tc>
        <w:tc>
          <w:tcPr>
            <w:tcW w:w="6379" w:type="dxa"/>
            <w:vAlign w:val="center"/>
          </w:tcPr>
          <w:p>
            <w:pPr>
              <w:widowControl w:val="0"/>
              <w:spacing w:line="400" w:lineRule="exact"/>
              <w:ind w:firstLine="0" w:firstLineChars="0"/>
              <w:jc w:val="both"/>
              <w:rPr>
                <w:rFonts w:ascii="宋体" w:hAnsi="宋体" w:eastAsia="宋体" w:cs="宋体"/>
                <w:kern w:val="2"/>
                <w:sz w:val="21"/>
                <w:szCs w:val="20"/>
                <w:lang w:val="en-US" w:eastAsia="zh-CN" w:bidi="ar-SA"/>
              </w:rPr>
            </w:pPr>
            <w:r>
              <w:rPr>
                <w:rFonts w:hint="eastAsia" w:ascii="宋体" w:hAnsi="宋体" w:eastAsia="宋体" w:cs="宋体"/>
                <w:kern w:val="2"/>
                <w:sz w:val="21"/>
                <w:szCs w:val="20"/>
                <w:lang w:val="en-US" w:eastAsia="zh-CN" w:bidi="ar-SA"/>
              </w:rPr>
              <w:t>1.具有医保业务综合服务终端（Ⅲ类）设备的检测报告，取得国家医保局“CHS”过检的，得3分。</w:t>
            </w:r>
          </w:p>
          <w:p>
            <w:pPr>
              <w:spacing w:line="400" w:lineRule="exact"/>
              <w:rPr>
                <w:rFonts w:ascii="宋体" w:hAnsi="宋体" w:eastAsia="宋体" w:cs="宋体"/>
                <w:sz w:val="21"/>
                <w:szCs w:val="20"/>
              </w:rPr>
            </w:pPr>
            <w:r>
              <w:rPr>
                <w:rFonts w:hint="eastAsia" w:ascii="宋体" w:hAnsi="宋体" w:eastAsia="宋体" w:cs="宋体"/>
                <w:sz w:val="21"/>
                <w:szCs w:val="20"/>
              </w:rPr>
              <w:t>2.具有无线电型号核准-SRRC证书，得</w:t>
            </w:r>
            <w:r>
              <w:rPr>
                <w:rFonts w:hint="eastAsia" w:ascii="宋体" w:hAnsi="宋体" w:eastAsia="宋体" w:cs="宋体"/>
                <w:sz w:val="21"/>
                <w:szCs w:val="20"/>
                <w:lang w:val="en-US" w:eastAsia="zh-CN"/>
              </w:rPr>
              <w:t>3</w:t>
            </w:r>
            <w:r>
              <w:rPr>
                <w:rFonts w:hint="eastAsia" w:ascii="宋体" w:hAnsi="宋体" w:eastAsia="宋体" w:cs="宋体"/>
                <w:sz w:val="21"/>
                <w:szCs w:val="20"/>
              </w:rPr>
              <w:t>分。</w:t>
            </w:r>
          </w:p>
          <w:p>
            <w:pPr>
              <w:widowControl w:val="0"/>
              <w:spacing w:line="400" w:lineRule="exact"/>
              <w:ind w:firstLine="0" w:firstLineChars="0"/>
              <w:jc w:val="both"/>
              <w:rPr>
                <w:rFonts w:ascii="宋体" w:hAnsi="宋体" w:eastAsia="宋体" w:cs="宋体"/>
                <w:kern w:val="2"/>
                <w:sz w:val="21"/>
                <w:szCs w:val="20"/>
                <w:lang w:val="en-US" w:eastAsia="zh-CN" w:bidi="ar-SA"/>
              </w:rPr>
            </w:pPr>
            <w:r>
              <w:rPr>
                <w:rFonts w:hint="eastAsia" w:ascii="宋体" w:hAnsi="宋体" w:eastAsia="宋体" w:cs="宋体"/>
                <w:kern w:val="2"/>
                <w:sz w:val="21"/>
                <w:szCs w:val="20"/>
                <w:lang w:val="en-US" w:eastAsia="zh-CN" w:bidi="ar-SA"/>
              </w:rPr>
              <w:t>3.具有电信设备进网许可证-CTA证书，得3分。</w:t>
            </w:r>
          </w:p>
          <w:p>
            <w:pPr>
              <w:widowControl w:val="0"/>
              <w:spacing w:line="400" w:lineRule="exact"/>
              <w:ind w:firstLine="0" w:firstLineChars="0"/>
              <w:jc w:val="both"/>
              <w:rPr>
                <w:rFonts w:ascii="宋体" w:hAnsi="宋体" w:eastAsia="宋体" w:cs="宋体"/>
                <w:kern w:val="2"/>
                <w:sz w:val="21"/>
                <w:szCs w:val="20"/>
                <w:lang w:val="en-US" w:eastAsia="zh-CN" w:bidi="ar-SA"/>
              </w:rPr>
            </w:pPr>
            <w:r>
              <w:rPr>
                <w:rFonts w:hint="eastAsia" w:ascii="宋体" w:hAnsi="宋体" w:eastAsia="宋体" w:cs="宋体"/>
                <w:kern w:val="2"/>
                <w:sz w:val="21"/>
                <w:szCs w:val="20"/>
                <w:lang w:val="en-US" w:eastAsia="zh-CN" w:bidi="ar-SA"/>
              </w:rPr>
              <w:t>4.产品企业通过GA生产企业认证，得3分。</w:t>
            </w:r>
          </w:p>
          <w:p>
            <w:pPr>
              <w:widowControl w:val="0"/>
              <w:spacing w:line="460" w:lineRule="exact"/>
              <w:ind w:firstLine="0" w:firstLineChars="0"/>
              <w:jc w:val="both"/>
              <w:rPr>
                <w:rFonts w:ascii="宋体" w:hAnsi="宋体" w:eastAsia="宋体" w:cs="宋体"/>
                <w:kern w:val="2"/>
                <w:sz w:val="21"/>
                <w:szCs w:val="20"/>
                <w:lang w:val="en-US" w:eastAsia="zh-CN" w:bidi="ar-SA"/>
              </w:rPr>
            </w:pPr>
            <w:r>
              <w:rPr>
                <w:rFonts w:hint="eastAsia" w:ascii="宋体" w:hAnsi="宋体" w:eastAsia="宋体" w:cs="宋体"/>
                <w:kern w:val="2"/>
                <w:sz w:val="21"/>
                <w:szCs w:val="20"/>
                <w:lang w:val="en-US" w:eastAsia="zh-CN" w:bidi="ar-SA"/>
              </w:rPr>
              <w:t>5.具有人脸识别终端安全评估或活体检测评估得6分。</w:t>
            </w:r>
          </w:p>
          <w:p>
            <w:pPr>
              <w:widowControl w:val="0"/>
              <w:spacing w:line="460" w:lineRule="exact"/>
              <w:ind w:firstLine="0" w:firstLineChars="0"/>
              <w:jc w:val="both"/>
              <w:rPr>
                <w:rFonts w:ascii="宋体" w:hAnsi="宋体" w:eastAsia="宋体" w:cs="宋体"/>
                <w:kern w:val="2"/>
                <w:sz w:val="21"/>
                <w:szCs w:val="20"/>
                <w:lang w:val="en-US" w:eastAsia="zh-CN" w:bidi="ar-SA"/>
              </w:rPr>
            </w:pPr>
            <w:r>
              <w:rPr>
                <w:rFonts w:hint="eastAsia" w:ascii="宋体" w:hAnsi="宋体" w:eastAsia="宋体" w:cs="宋体"/>
                <w:kern w:val="2"/>
                <w:sz w:val="21"/>
                <w:szCs w:val="20"/>
                <w:lang w:val="en-US" w:eastAsia="zh-CN" w:bidi="ar-SA"/>
              </w:rPr>
              <w:t>6.银联卡受理终端产品资质认证证书得6分。</w:t>
            </w:r>
          </w:p>
          <w:p>
            <w:pPr>
              <w:widowControl w:val="0"/>
              <w:spacing w:line="460" w:lineRule="exact"/>
              <w:ind w:firstLine="0" w:firstLineChars="0"/>
              <w:jc w:val="both"/>
              <w:rPr>
                <w:rFonts w:hint="eastAsia" w:ascii="宋体" w:hAnsi="宋体" w:eastAsia="宋体" w:cs="宋体"/>
                <w:kern w:val="2"/>
                <w:sz w:val="21"/>
                <w:szCs w:val="20"/>
                <w:lang w:val="en-US" w:eastAsia="zh-CN" w:bidi="ar-SA"/>
              </w:rPr>
            </w:pPr>
            <w:r>
              <w:rPr>
                <w:rFonts w:hint="eastAsia" w:ascii="宋体" w:hAnsi="宋体" w:eastAsia="宋体" w:cs="宋体"/>
                <w:kern w:val="2"/>
                <w:sz w:val="21"/>
                <w:szCs w:val="20"/>
                <w:lang w:val="en-US" w:eastAsia="zh-CN" w:bidi="ar-SA"/>
              </w:rPr>
              <w:t>7</w:t>
            </w:r>
            <w:r>
              <w:rPr>
                <w:rFonts w:ascii="宋体" w:hAnsi="宋体" w:eastAsia="宋体" w:cs="宋体"/>
                <w:kern w:val="2"/>
                <w:sz w:val="21"/>
                <w:szCs w:val="20"/>
                <w:lang w:val="en-US" w:eastAsia="zh-CN" w:bidi="ar-SA"/>
              </w:rPr>
              <w:t>.</w:t>
            </w:r>
            <w:r>
              <w:rPr>
                <w:rFonts w:hint="eastAsia" w:ascii="宋体" w:hAnsi="宋体" w:eastAsia="宋体" w:cs="宋体"/>
                <w:kern w:val="2"/>
                <w:sz w:val="21"/>
                <w:szCs w:val="20"/>
                <w:lang w:val="en-US" w:eastAsia="zh-CN" w:bidi="ar-SA"/>
              </w:rPr>
              <w:t>具有I</w:t>
            </w:r>
            <w:r>
              <w:rPr>
                <w:rFonts w:ascii="宋体" w:hAnsi="宋体" w:eastAsia="宋体" w:cs="宋体"/>
                <w:kern w:val="2"/>
                <w:sz w:val="21"/>
                <w:szCs w:val="20"/>
                <w:lang w:val="en-US" w:eastAsia="zh-CN" w:bidi="ar-SA"/>
              </w:rPr>
              <w:t>SO27701</w:t>
            </w:r>
            <w:r>
              <w:rPr>
                <w:rFonts w:hint="eastAsia" w:ascii="宋体" w:hAnsi="宋体" w:eastAsia="宋体" w:cs="宋体"/>
                <w:kern w:val="2"/>
                <w:sz w:val="21"/>
                <w:szCs w:val="20"/>
                <w:lang w:val="en-US" w:eastAsia="zh-CN" w:bidi="ar-SA"/>
              </w:rPr>
              <w:t>隐私信息证书得6分。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679" w:type="dxa"/>
            <w:vMerge w:val="continue"/>
            <w:vAlign w:val="center"/>
          </w:tcPr>
          <w:p>
            <w:pPr>
              <w:adjustRightInd w:val="0"/>
              <w:snapToGrid w:val="0"/>
              <w:spacing w:line="460" w:lineRule="exact"/>
              <w:jc w:val="center"/>
              <w:rPr>
                <w:rFonts w:ascii="宋体" w:hAnsi="宋体" w:eastAsia="宋体" w:cs="宋体"/>
                <w:sz w:val="21"/>
                <w:szCs w:val="20"/>
              </w:rPr>
            </w:pPr>
          </w:p>
        </w:tc>
        <w:tc>
          <w:tcPr>
            <w:tcW w:w="1204" w:type="dxa"/>
            <w:vMerge w:val="continue"/>
            <w:vAlign w:val="center"/>
          </w:tcPr>
          <w:p>
            <w:pPr>
              <w:spacing w:line="460" w:lineRule="exact"/>
              <w:ind w:right="-31" w:rightChars="-10"/>
              <w:jc w:val="center"/>
              <w:rPr>
                <w:rFonts w:ascii="Times New Roman" w:hAnsi="Times New Roman" w:eastAsia="宋体" w:cs="Times New Roman"/>
                <w:sz w:val="21"/>
                <w:szCs w:val="20"/>
                <w:lang w:bidi="ar"/>
              </w:rPr>
            </w:pPr>
          </w:p>
        </w:tc>
        <w:tc>
          <w:tcPr>
            <w:tcW w:w="1275" w:type="dxa"/>
            <w:vAlign w:val="center"/>
          </w:tcPr>
          <w:p>
            <w:pPr>
              <w:spacing w:line="400" w:lineRule="exact"/>
              <w:jc w:val="center"/>
              <w:rPr>
                <w:rFonts w:ascii="宋体" w:hAnsi="宋体" w:eastAsia="宋体" w:cs="宋体"/>
                <w:sz w:val="21"/>
                <w:szCs w:val="20"/>
              </w:rPr>
            </w:pPr>
            <w:r>
              <w:rPr>
                <w:rFonts w:hint="eastAsia" w:ascii="宋体" w:hAnsi="宋体" w:eastAsia="宋体" w:cs="宋体"/>
                <w:sz w:val="21"/>
                <w:szCs w:val="20"/>
              </w:rPr>
              <w:t>案例及业绩</w:t>
            </w:r>
          </w:p>
          <w:p>
            <w:pPr>
              <w:spacing w:line="400" w:lineRule="exact"/>
              <w:jc w:val="center"/>
              <w:rPr>
                <w:rFonts w:ascii="宋体" w:hAnsi="宋体" w:eastAsia="宋体" w:cs="宋体"/>
                <w:sz w:val="21"/>
                <w:szCs w:val="20"/>
              </w:rPr>
            </w:pPr>
            <w:r>
              <w:rPr>
                <w:rFonts w:hint="eastAsia" w:ascii="宋体" w:hAnsi="宋体" w:eastAsia="宋体" w:cs="宋体"/>
                <w:sz w:val="21"/>
                <w:szCs w:val="20"/>
              </w:rPr>
              <w:t>（</w:t>
            </w:r>
            <w:r>
              <w:rPr>
                <w:rFonts w:ascii="宋体" w:hAnsi="宋体" w:eastAsia="宋体" w:cs="宋体"/>
                <w:sz w:val="21"/>
                <w:szCs w:val="20"/>
              </w:rPr>
              <w:t>20</w:t>
            </w:r>
            <w:r>
              <w:rPr>
                <w:rFonts w:hint="eastAsia" w:ascii="宋体" w:hAnsi="宋体" w:eastAsia="宋体" w:cs="宋体"/>
                <w:sz w:val="21"/>
                <w:szCs w:val="20"/>
              </w:rPr>
              <w:t>分）</w:t>
            </w:r>
          </w:p>
        </w:tc>
        <w:tc>
          <w:tcPr>
            <w:tcW w:w="6379" w:type="dxa"/>
          </w:tcPr>
          <w:p>
            <w:pPr>
              <w:widowControl w:val="0"/>
              <w:spacing w:line="400" w:lineRule="exact"/>
              <w:ind w:firstLine="0" w:firstLineChars="0"/>
              <w:jc w:val="both"/>
              <w:rPr>
                <w:rFonts w:ascii="宋体" w:hAnsi="宋体" w:eastAsia="宋体" w:cs="宋体"/>
                <w:kern w:val="2"/>
                <w:sz w:val="21"/>
                <w:szCs w:val="20"/>
                <w:lang w:val="en-US" w:eastAsia="zh-CN" w:bidi="ar-SA"/>
              </w:rPr>
            </w:pPr>
            <w:r>
              <w:rPr>
                <w:rFonts w:hint="eastAsia" w:ascii="宋体" w:hAnsi="宋体" w:eastAsia="宋体" w:cs="宋体"/>
                <w:kern w:val="2"/>
                <w:sz w:val="21"/>
                <w:szCs w:val="20"/>
                <w:lang w:val="en-US" w:eastAsia="zh-CN" w:bidi="ar-SA"/>
              </w:rPr>
              <w:t>1.</w:t>
            </w:r>
            <w:r>
              <w:rPr>
                <w:rFonts w:hint="eastAsia" w:ascii="宋体" w:hAnsi="宋体" w:eastAsia="宋体" w:cs="宋体"/>
                <w:kern w:val="2"/>
                <w:sz w:val="21"/>
                <w:szCs w:val="20"/>
                <w:lang w:val="en-US" w:eastAsia="zh-Hans" w:bidi="ar-SA"/>
              </w:rPr>
              <w:t>按照国家医保局医保业务综合服务终端接入指南相关要求</w:t>
            </w:r>
            <w:r>
              <w:rPr>
                <w:rFonts w:hint="eastAsia" w:ascii="宋体" w:hAnsi="宋体" w:eastAsia="宋体" w:cs="宋体"/>
                <w:kern w:val="2"/>
                <w:sz w:val="21"/>
                <w:szCs w:val="20"/>
                <w:lang w:val="en-US" w:eastAsia="zh-CN" w:bidi="ar-SA"/>
              </w:rPr>
              <w:t>,</w:t>
            </w:r>
            <w:r>
              <w:rPr>
                <w:rFonts w:hint="eastAsia" w:ascii="宋体" w:hAnsi="宋体" w:eastAsia="宋体" w:cs="宋体"/>
                <w:kern w:val="2"/>
                <w:sz w:val="21"/>
                <w:szCs w:val="20"/>
                <w:lang w:val="en-US" w:eastAsia="zh-Hans" w:bidi="ar-SA"/>
              </w:rPr>
              <w:t xml:space="preserve"> 投标产品</w:t>
            </w:r>
            <w:r>
              <w:rPr>
                <w:rFonts w:hint="eastAsia" w:ascii="宋体" w:hAnsi="宋体" w:eastAsia="宋体" w:cs="宋体"/>
                <w:kern w:val="2"/>
                <w:sz w:val="21"/>
                <w:szCs w:val="20"/>
                <w:lang w:val="en-US" w:eastAsia="zh-CN" w:bidi="ar-SA"/>
              </w:rPr>
              <w:t>与医保两定医药机构结算系统完成对接测试，得5分。（提供对接测试报告或由生产厂家提供承诺函）</w:t>
            </w:r>
          </w:p>
          <w:p>
            <w:pPr>
              <w:widowControl w:val="0"/>
              <w:spacing w:line="400" w:lineRule="exact"/>
              <w:ind w:firstLine="0" w:firstLineChars="0"/>
              <w:jc w:val="both"/>
              <w:rPr>
                <w:rFonts w:ascii="宋体" w:hAnsi="宋体" w:eastAsia="宋体" w:cs="宋体"/>
                <w:kern w:val="2"/>
                <w:sz w:val="21"/>
                <w:szCs w:val="20"/>
                <w:lang w:val="en-US" w:eastAsia="zh-CN" w:bidi="ar-SA"/>
              </w:rPr>
            </w:pPr>
            <w:r>
              <w:rPr>
                <w:rFonts w:hint="eastAsia" w:ascii="宋体" w:hAnsi="宋体" w:eastAsia="宋体" w:cs="宋体"/>
                <w:kern w:val="2"/>
                <w:sz w:val="21"/>
                <w:szCs w:val="20"/>
                <w:lang w:val="en-US" w:eastAsia="zh-CN" w:bidi="ar-SA"/>
              </w:rPr>
              <w:t>2.</w:t>
            </w:r>
            <w:r>
              <w:rPr>
                <w:rFonts w:hint="eastAsia" w:ascii="宋体" w:hAnsi="宋体" w:eastAsia="宋体" w:cs="宋体"/>
                <w:kern w:val="2"/>
                <w:sz w:val="21"/>
                <w:szCs w:val="20"/>
                <w:lang w:val="en-US" w:eastAsia="zh-Hans" w:bidi="ar-SA"/>
              </w:rPr>
              <w:t>投标产品</w:t>
            </w:r>
            <w:r>
              <w:rPr>
                <w:rFonts w:hint="eastAsia" w:ascii="宋体" w:hAnsi="宋体" w:eastAsia="宋体" w:cs="宋体"/>
                <w:kern w:val="2"/>
                <w:sz w:val="21"/>
                <w:szCs w:val="20"/>
                <w:lang w:val="en-US" w:eastAsia="zh-CN" w:bidi="ar-SA"/>
              </w:rPr>
              <w:t>在医保两定医药机构</w:t>
            </w:r>
            <w:r>
              <w:rPr>
                <w:rFonts w:hint="eastAsia" w:ascii="宋体" w:hAnsi="宋体" w:eastAsia="宋体" w:cs="宋体"/>
                <w:kern w:val="2"/>
                <w:sz w:val="21"/>
                <w:szCs w:val="20"/>
                <w:lang w:val="en-US" w:eastAsia="zh-Hans" w:bidi="ar-SA"/>
              </w:rPr>
              <w:t>有实际上线应用案例，</w:t>
            </w:r>
            <w:r>
              <w:rPr>
                <w:rFonts w:hint="eastAsia" w:ascii="宋体" w:hAnsi="宋体" w:eastAsia="宋体" w:cs="宋体"/>
                <w:kern w:val="2"/>
                <w:sz w:val="21"/>
                <w:szCs w:val="20"/>
                <w:lang w:val="en-US" w:eastAsia="zh-CN" w:bidi="ar-SA"/>
              </w:rPr>
              <w:t>提供使用名单并</w:t>
            </w:r>
            <w:r>
              <w:rPr>
                <w:rFonts w:hint="eastAsia" w:ascii="宋体" w:hAnsi="宋体" w:eastAsia="宋体" w:cs="宋体"/>
                <w:kern w:val="2"/>
                <w:sz w:val="21"/>
                <w:szCs w:val="20"/>
                <w:lang w:val="en-US" w:eastAsia="zh-Hans" w:bidi="ar-SA"/>
              </w:rPr>
              <w:t>加盖企业公章承诺。</w:t>
            </w:r>
            <w:r>
              <w:rPr>
                <w:rFonts w:hint="eastAsia" w:ascii="宋体" w:hAnsi="宋体" w:eastAsia="宋体" w:cs="宋体"/>
                <w:kern w:val="2"/>
                <w:sz w:val="21"/>
                <w:szCs w:val="20"/>
                <w:lang w:val="en-US" w:eastAsia="zh-CN" w:bidi="ar-SA"/>
              </w:rPr>
              <w:t>得5分。</w:t>
            </w:r>
          </w:p>
          <w:p>
            <w:pPr>
              <w:widowControl w:val="0"/>
              <w:spacing w:line="400" w:lineRule="exact"/>
              <w:ind w:firstLine="0" w:firstLineChars="0"/>
              <w:jc w:val="both"/>
              <w:rPr>
                <w:rFonts w:ascii="宋体" w:hAnsi="宋体" w:eastAsia="宋体" w:cs="宋体"/>
                <w:kern w:val="2"/>
                <w:sz w:val="21"/>
                <w:szCs w:val="20"/>
                <w:lang w:val="en-US" w:eastAsia="zh-CN" w:bidi="ar-SA"/>
              </w:rPr>
            </w:pPr>
            <w:r>
              <w:rPr>
                <w:rFonts w:hint="eastAsia" w:ascii="宋体" w:hAnsi="宋体" w:eastAsia="宋体" w:cs="宋体"/>
                <w:kern w:val="2"/>
                <w:sz w:val="21"/>
                <w:szCs w:val="20"/>
                <w:lang w:val="en-US" w:eastAsia="zh-CN" w:bidi="ar-SA"/>
              </w:rPr>
              <w:t>3.</w:t>
            </w:r>
            <w:r>
              <w:rPr>
                <w:rFonts w:hint="eastAsia" w:ascii="宋体" w:hAnsi="宋体" w:eastAsia="宋体" w:cs="宋体"/>
                <w:kern w:val="2"/>
                <w:sz w:val="21"/>
                <w:szCs w:val="20"/>
                <w:lang w:val="en-US" w:eastAsia="zh-Hans" w:bidi="ar-SA"/>
              </w:rPr>
              <w:t>提供</w:t>
            </w:r>
            <w:r>
              <w:rPr>
                <w:rFonts w:hint="eastAsia" w:ascii="宋体" w:hAnsi="宋体" w:eastAsia="宋体" w:cs="宋体"/>
                <w:kern w:val="2"/>
                <w:sz w:val="21"/>
                <w:szCs w:val="20"/>
                <w:lang w:val="en-US" w:eastAsia="zh-CN" w:bidi="ar-SA"/>
              </w:rPr>
              <w:t>2018年以来该产品</w:t>
            </w:r>
            <w:r>
              <w:rPr>
                <w:rFonts w:hint="eastAsia" w:ascii="宋体" w:hAnsi="宋体" w:eastAsia="宋体" w:cs="宋体"/>
                <w:kern w:val="2"/>
                <w:sz w:val="21"/>
                <w:szCs w:val="20"/>
                <w:lang w:val="en-US" w:eastAsia="zh-Hans" w:bidi="ar-SA"/>
              </w:rPr>
              <w:t>业绩证明材料（提供</w:t>
            </w:r>
            <w:r>
              <w:rPr>
                <w:rFonts w:hint="eastAsia" w:ascii="宋体" w:hAnsi="宋体" w:eastAsia="宋体" w:cs="宋体"/>
                <w:kern w:val="2"/>
                <w:sz w:val="21"/>
                <w:szCs w:val="20"/>
                <w:lang w:val="en-US" w:eastAsia="zh-CN" w:bidi="ar-SA"/>
              </w:rPr>
              <w:t>中标通知书或</w:t>
            </w:r>
            <w:r>
              <w:rPr>
                <w:rFonts w:hint="eastAsia" w:ascii="宋体" w:hAnsi="宋体" w:eastAsia="宋体" w:cs="宋体"/>
                <w:kern w:val="2"/>
                <w:sz w:val="21"/>
                <w:szCs w:val="20"/>
                <w:lang w:val="en-US" w:eastAsia="zh-Hans" w:bidi="ar-SA"/>
              </w:rPr>
              <w:t>合同</w:t>
            </w:r>
            <w:r>
              <w:rPr>
                <w:rFonts w:hint="eastAsia" w:ascii="宋体" w:hAnsi="宋体" w:eastAsia="宋体" w:cs="宋体"/>
                <w:kern w:val="2"/>
                <w:sz w:val="21"/>
                <w:szCs w:val="20"/>
                <w:lang w:val="en-US" w:eastAsia="zh-CN" w:bidi="ar-SA"/>
              </w:rPr>
              <w:t>协议书</w:t>
            </w:r>
            <w:r>
              <w:rPr>
                <w:rFonts w:hint="eastAsia" w:ascii="宋体" w:hAnsi="宋体" w:eastAsia="宋体" w:cs="宋体"/>
                <w:kern w:val="2"/>
                <w:sz w:val="21"/>
                <w:szCs w:val="20"/>
                <w:lang w:val="en-US" w:eastAsia="zh-Hans" w:bidi="ar-SA"/>
              </w:rPr>
              <w:t>复印</w:t>
            </w:r>
            <w:r>
              <w:rPr>
                <w:rFonts w:hint="eastAsia" w:ascii="宋体" w:hAnsi="宋体" w:eastAsia="宋体" w:cs="宋体"/>
                <w:kern w:val="2"/>
                <w:sz w:val="21"/>
                <w:szCs w:val="20"/>
                <w:lang w:val="en-US" w:eastAsia="zh-CN" w:bidi="ar-SA"/>
              </w:rPr>
              <w:t>（扫描）</w:t>
            </w:r>
            <w:r>
              <w:rPr>
                <w:rFonts w:hint="eastAsia" w:ascii="宋体" w:hAnsi="宋体" w:eastAsia="宋体" w:cs="宋体"/>
                <w:kern w:val="2"/>
                <w:sz w:val="21"/>
                <w:szCs w:val="20"/>
                <w:lang w:val="en-US" w:eastAsia="zh-Hans" w:bidi="ar-SA"/>
              </w:rPr>
              <w:t>件），每提供</w:t>
            </w:r>
            <w:r>
              <w:rPr>
                <w:rFonts w:hint="eastAsia" w:ascii="宋体" w:hAnsi="宋体" w:eastAsia="宋体" w:cs="宋体"/>
                <w:kern w:val="2"/>
                <w:sz w:val="21"/>
                <w:szCs w:val="20"/>
                <w:lang w:val="en-US" w:eastAsia="zh-CN" w:bidi="ar-SA"/>
              </w:rPr>
              <w:t>1</w:t>
            </w:r>
            <w:r>
              <w:rPr>
                <w:rFonts w:hint="eastAsia" w:ascii="宋体" w:hAnsi="宋体" w:eastAsia="宋体" w:cs="宋体"/>
                <w:kern w:val="2"/>
                <w:sz w:val="21"/>
                <w:szCs w:val="20"/>
                <w:lang w:val="en-US" w:eastAsia="zh-Hans" w:bidi="ar-SA"/>
              </w:rPr>
              <w:t>项得</w:t>
            </w:r>
            <w:r>
              <w:rPr>
                <w:rFonts w:hint="eastAsia" w:ascii="宋体" w:hAnsi="宋体" w:eastAsia="宋体" w:cs="宋体"/>
                <w:kern w:val="2"/>
                <w:sz w:val="21"/>
                <w:szCs w:val="20"/>
                <w:lang w:val="en-US" w:eastAsia="zh-CN" w:bidi="ar-SA"/>
              </w:rPr>
              <w:t>5</w:t>
            </w:r>
            <w:r>
              <w:rPr>
                <w:rFonts w:hint="eastAsia" w:ascii="宋体" w:hAnsi="宋体" w:eastAsia="宋体" w:cs="宋体"/>
                <w:kern w:val="2"/>
                <w:sz w:val="21"/>
                <w:szCs w:val="20"/>
                <w:lang w:val="en-US" w:eastAsia="zh-Hans" w:bidi="ar-SA"/>
              </w:rPr>
              <w:t>分,满分</w:t>
            </w:r>
            <w:r>
              <w:rPr>
                <w:rFonts w:ascii="宋体" w:hAnsi="宋体" w:eastAsia="宋体" w:cs="宋体"/>
                <w:kern w:val="2"/>
                <w:sz w:val="21"/>
                <w:szCs w:val="20"/>
                <w:lang w:val="en-US" w:eastAsia="zh-CN" w:bidi="ar-SA"/>
              </w:rPr>
              <w:t>10</w:t>
            </w:r>
            <w:r>
              <w:rPr>
                <w:rFonts w:hint="eastAsia" w:ascii="宋体" w:hAnsi="宋体" w:eastAsia="宋体" w:cs="宋体"/>
                <w:kern w:val="2"/>
                <w:sz w:val="21"/>
                <w:szCs w:val="20"/>
                <w:lang w:val="en-US" w:eastAsia="zh-Hans" w:bidi="ar-SA"/>
              </w:rPr>
              <w:t>分；不提供不得分。</w:t>
            </w:r>
          </w:p>
        </w:tc>
      </w:tr>
    </w:tbl>
    <w:p>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宋体" w:hAnsi="宋体" w:eastAsia="宋体" w:cs="宋体"/>
          <w:sz w:val="24"/>
          <w:szCs w:val="24"/>
        </w:rPr>
      </w:pPr>
    </w:p>
    <w:sectPr>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evenAndOddHeaders w:val="1"/>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kMzNjNjNlNGMyMTUxMmRhYjdmNjcxNDlhZmU4NTIifQ=="/>
  </w:docVars>
  <w:rsids>
    <w:rsidRoot w:val="51BD5711"/>
    <w:rsid w:val="212C6F12"/>
    <w:rsid w:val="32FB7420"/>
    <w:rsid w:val="51BD5711"/>
    <w:rsid w:val="6E3E7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cs="仿宋_GB2312" w:asciiTheme="minorHAnsi" w:hAnsiTheme="minorHAnsi"/>
      <w:kern w:val="2"/>
      <w:sz w:val="32"/>
      <w:szCs w:val="3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1"/>
    <w:pPr>
      <w:spacing w:after="120"/>
    </w:pPr>
  </w:style>
  <w:style w:type="paragraph" w:styleId="4">
    <w:name w:val="Body Text Indent"/>
    <w:basedOn w:val="1"/>
    <w:next w:val="1"/>
    <w:qFormat/>
    <w:uiPriority w:val="0"/>
    <w:pPr>
      <w:spacing w:after="120"/>
      <w:ind w:left="420" w:leftChars="200"/>
    </w:pPr>
    <w:rPr>
      <w:sz w:val="21"/>
    </w:rPr>
  </w:style>
  <w:style w:type="paragraph" w:styleId="5">
    <w:name w:val="Body Text First Indent"/>
    <w:basedOn w:val="3"/>
    <w:next w:val="6"/>
    <w:qFormat/>
    <w:uiPriority w:val="99"/>
    <w:pPr>
      <w:ind w:firstLine="420" w:firstLineChars="100"/>
    </w:pPr>
  </w:style>
  <w:style w:type="paragraph" w:styleId="6">
    <w:name w:val="Body Text First Indent 2"/>
    <w:basedOn w:val="4"/>
    <w:qFormat/>
    <w:uiPriority w:val="0"/>
    <w:pPr>
      <w:ind w:firstLine="420" w:firstLineChars="200"/>
    </w:p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2023-06-15T01:28:00Z</dcterms:created>
  <dc:creator>Syh,</dc:creator>
  <cp:lastModifiedBy>Syh,</cp:lastModifiedBy>
  <dcterms:modified xsi:type="dcterms:W3CDTF">2023-06-15T02:08:05Z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84CAD96F363C455199F2862C82890B4F_11</vt:lpwstr>
  </property>
</Properties>
</file>